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FDB" w14:textId="77777777" w:rsidR="00C95AF7" w:rsidRDefault="00C95AF7" w:rsidP="00B70BAF">
      <w:pPr>
        <w:spacing w:after="0" w:line="276" w:lineRule="auto"/>
        <w:rPr>
          <w:color w:val="215E99" w:themeColor="text2" w:themeTint="BF"/>
          <w:sz w:val="36"/>
          <w:szCs w:val="36"/>
        </w:rPr>
      </w:pPr>
    </w:p>
    <w:p w14:paraId="304FD3C1" w14:textId="4E0FEA46" w:rsidR="00B70BAF" w:rsidRDefault="00572CCE" w:rsidP="00B70BAF">
      <w:pPr>
        <w:spacing w:after="0" w:line="276" w:lineRule="auto"/>
        <w:rPr>
          <w:b/>
          <w:bCs/>
          <w:szCs w:val="22"/>
        </w:rPr>
      </w:pPr>
      <w:r w:rsidRPr="00572CCE">
        <w:rPr>
          <w:color w:val="215E99" w:themeColor="text2" w:themeTint="BF"/>
          <w:sz w:val="36"/>
          <w:szCs w:val="36"/>
        </w:rPr>
        <w:t>Korduskasutusnõude rakendamise mõjuanalüüs suletud süsteemides</w:t>
      </w:r>
    </w:p>
    <w:p w14:paraId="017B5BDF" w14:textId="77777777" w:rsidR="00C95AF7" w:rsidRDefault="00C95AF7" w:rsidP="00B70BAF">
      <w:pPr>
        <w:spacing w:after="0" w:line="276" w:lineRule="auto"/>
        <w:rPr>
          <w:b/>
          <w:bCs/>
          <w:szCs w:val="21"/>
        </w:rPr>
      </w:pPr>
    </w:p>
    <w:p w14:paraId="74803BCC" w14:textId="2E453260" w:rsidR="008C7D15" w:rsidRDefault="008C7D15" w:rsidP="00B70BAF">
      <w:pPr>
        <w:spacing w:after="0" w:line="276" w:lineRule="auto"/>
        <w:rPr>
          <w:b/>
          <w:bCs/>
          <w:szCs w:val="21"/>
        </w:rPr>
      </w:pPr>
      <w:r>
        <w:rPr>
          <w:b/>
          <w:bCs/>
          <w:szCs w:val="21"/>
        </w:rPr>
        <w:t>Jaana Härma</w:t>
      </w:r>
      <w:r w:rsidR="00164D25">
        <w:rPr>
          <w:b/>
          <w:bCs/>
          <w:szCs w:val="21"/>
        </w:rPr>
        <w:t xml:space="preserve"> (analüüs)</w:t>
      </w:r>
    </w:p>
    <w:p w14:paraId="7682ED61" w14:textId="55A0CA0E" w:rsidR="00B70BAF" w:rsidRPr="00747E66" w:rsidRDefault="00B70BAF" w:rsidP="00B70BAF">
      <w:pPr>
        <w:spacing w:after="0" w:line="276" w:lineRule="auto"/>
        <w:rPr>
          <w:b/>
          <w:bCs/>
          <w:szCs w:val="21"/>
        </w:rPr>
      </w:pPr>
      <w:r w:rsidRPr="00747E66">
        <w:rPr>
          <w:b/>
          <w:bCs/>
          <w:szCs w:val="21"/>
        </w:rPr>
        <w:t>Mati Mõtte</w:t>
      </w:r>
      <w:r w:rsidR="00164D25">
        <w:rPr>
          <w:b/>
          <w:bCs/>
          <w:szCs w:val="21"/>
        </w:rPr>
        <w:t xml:space="preserve"> (metoodika)</w:t>
      </w:r>
    </w:p>
    <w:p w14:paraId="17D999C0" w14:textId="015B5D05" w:rsidR="00B70BAF" w:rsidRDefault="00F55CC9" w:rsidP="00B70BAF">
      <w:pPr>
        <w:spacing w:after="0" w:line="276" w:lineRule="auto"/>
        <w:rPr>
          <w:b/>
          <w:bCs/>
          <w:szCs w:val="21"/>
        </w:rPr>
      </w:pPr>
      <w:r>
        <w:rPr>
          <w:b/>
          <w:bCs/>
          <w:szCs w:val="21"/>
        </w:rPr>
        <w:t>Mõjua</w:t>
      </w:r>
      <w:r w:rsidR="00B70BAF" w:rsidRPr="00747E66">
        <w:rPr>
          <w:b/>
          <w:bCs/>
          <w:szCs w:val="21"/>
        </w:rPr>
        <w:t>nalüüs</w:t>
      </w:r>
      <w:r w:rsidR="00572CCE">
        <w:rPr>
          <w:b/>
          <w:bCs/>
          <w:szCs w:val="21"/>
        </w:rPr>
        <w:br/>
        <w:t xml:space="preserve">Koostatud </w:t>
      </w:r>
      <w:r w:rsidR="002C0218">
        <w:rPr>
          <w:b/>
          <w:bCs/>
          <w:szCs w:val="21"/>
        </w:rPr>
        <w:t>03</w:t>
      </w:r>
      <w:r w:rsidR="00B70BAF" w:rsidRPr="00747E66">
        <w:rPr>
          <w:b/>
          <w:bCs/>
          <w:szCs w:val="21"/>
        </w:rPr>
        <w:t>.</w:t>
      </w:r>
      <w:r w:rsidR="002C0218">
        <w:rPr>
          <w:b/>
          <w:bCs/>
          <w:szCs w:val="21"/>
        </w:rPr>
        <w:t>02</w:t>
      </w:r>
      <w:r w:rsidR="00B70BAF" w:rsidRPr="00747E66">
        <w:rPr>
          <w:b/>
          <w:bCs/>
          <w:szCs w:val="21"/>
        </w:rPr>
        <w:t>.202</w:t>
      </w:r>
      <w:r w:rsidR="002C0218">
        <w:rPr>
          <w:b/>
          <w:bCs/>
          <w:szCs w:val="21"/>
        </w:rPr>
        <w:t>6</w:t>
      </w:r>
    </w:p>
    <w:p w14:paraId="11EC29CD" w14:textId="438629CB" w:rsidR="008C7D15" w:rsidRPr="00747E66" w:rsidRDefault="008C7D15" w:rsidP="00B70BAF">
      <w:pPr>
        <w:spacing w:after="0" w:line="276" w:lineRule="auto"/>
        <w:rPr>
          <w:b/>
          <w:bCs/>
          <w:szCs w:val="21"/>
        </w:rPr>
      </w:pPr>
      <w:r>
        <w:rPr>
          <w:b/>
          <w:bCs/>
          <w:szCs w:val="21"/>
        </w:rPr>
        <w:t xml:space="preserve">Uuendatud </w:t>
      </w:r>
      <w:r w:rsidR="00572CCE">
        <w:rPr>
          <w:b/>
          <w:bCs/>
          <w:szCs w:val="21"/>
        </w:rPr>
        <w:t>22</w:t>
      </w:r>
      <w:r w:rsidR="002C0218" w:rsidRPr="00747E66">
        <w:rPr>
          <w:b/>
          <w:bCs/>
          <w:szCs w:val="21"/>
        </w:rPr>
        <w:t>.</w:t>
      </w:r>
      <w:r w:rsidR="002C0218">
        <w:rPr>
          <w:b/>
          <w:bCs/>
          <w:szCs w:val="21"/>
        </w:rPr>
        <w:t>0</w:t>
      </w:r>
      <w:r w:rsidR="00572CCE">
        <w:rPr>
          <w:b/>
          <w:bCs/>
          <w:szCs w:val="21"/>
        </w:rPr>
        <w:t>4</w:t>
      </w:r>
      <w:r w:rsidR="002C0218" w:rsidRPr="00747E66">
        <w:rPr>
          <w:b/>
          <w:bCs/>
          <w:szCs w:val="21"/>
        </w:rPr>
        <w:t>.202</w:t>
      </w:r>
      <w:r w:rsidR="002C0218">
        <w:rPr>
          <w:b/>
          <w:bCs/>
          <w:szCs w:val="21"/>
        </w:rPr>
        <w:t>6</w:t>
      </w:r>
    </w:p>
    <w:p w14:paraId="2C0C6927" w14:textId="77777777" w:rsidR="00746625" w:rsidRDefault="00746625" w:rsidP="00B70BAF">
      <w:pPr>
        <w:spacing w:after="0" w:line="276" w:lineRule="auto"/>
        <w:rPr>
          <w:szCs w:val="22"/>
        </w:rPr>
      </w:pPr>
    </w:p>
    <w:sdt>
      <w:sdtPr>
        <w:rPr>
          <w:rFonts w:asciiTheme="minorHAnsi" w:eastAsiaTheme="minorHAnsi" w:hAnsiTheme="minorHAnsi" w:cstheme="minorBidi"/>
          <w:color w:val="auto"/>
          <w:kern w:val="2"/>
          <w:sz w:val="24"/>
          <w:szCs w:val="24"/>
          <w:lang w:eastAsia="en-US"/>
          <w14:ligatures w14:val="standardContextual"/>
        </w:rPr>
        <w:id w:val="351072832"/>
        <w:docPartObj>
          <w:docPartGallery w:val="Table of Contents"/>
          <w:docPartUnique/>
        </w:docPartObj>
      </w:sdtPr>
      <w:sdtEndPr>
        <w:rPr>
          <w:rFonts w:ascii="Roboto" w:hAnsi="Roboto"/>
          <w:b/>
          <w:bCs/>
          <w:sz w:val="21"/>
        </w:rPr>
      </w:sdtEndPr>
      <w:sdtContent>
        <w:p w14:paraId="732AC22D" w14:textId="77777777" w:rsidR="00746625" w:rsidRPr="000B6217" w:rsidRDefault="00746625" w:rsidP="00663E9A">
          <w:pPr>
            <w:pStyle w:val="Sisukorrapealkiri"/>
            <w:rPr>
              <w:rStyle w:val="Pealkiri1Mrk"/>
            </w:rPr>
          </w:pPr>
          <w:r w:rsidRPr="000B6217">
            <w:rPr>
              <w:rStyle w:val="Pealkiri1Mrk"/>
            </w:rPr>
            <w:t>Sisukord</w:t>
          </w:r>
        </w:p>
        <w:p w14:paraId="15813E28" w14:textId="53DAE711" w:rsidR="00496A33" w:rsidRDefault="00746625">
          <w:pPr>
            <w:pStyle w:val="SK1"/>
            <w:tabs>
              <w:tab w:val="right" w:leader="dot" w:pos="9344"/>
            </w:tabs>
            <w:rPr>
              <w:rFonts w:asciiTheme="minorHAnsi" w:eastAsiaTheme="minorEastAsia" w:hAnsiTheme="minorHAnsi"/>
              <w:noProof/>
              <w:sz w:val="24"/>
              <w:lang w:eastAsia="et-EE"/>
            </w:rPr>
          </w:pPr>
          <w:r w:rsidRPr="00746625">
            <w:rPr>
              <w:szCs w:val="22"/>
            </w:rPr>
            <w:fldChar w:fldCharType="begin"/>
          </w:r>
          <w:r w:rsidRPr="00746625">
            <w:rPr>
              <w:szCs w:val="22"/>
            </w:rPr>
            <w:instrText xml:space="preserve"> TOC \o "1-3" \h \z \u </w:instrText>
          </w:r>
          <w:r w:rsidRPr="00746625">
            <w:rPr>
              <w:szCs w:val="22"/>
            </w:rPr>
            <w:fldChar w:fldCharType="separate"/>
          </w:r>
          <w:hyperlink w:anchor="_Toc228177579" w:history="1">
            <w:r w:rsidR="00496A33" w:rsidRPr="003F2663">
              <w:rPr>
                <w:rStyle w:val="Hperlink"/>
                <w:noProof/>
              </w:rPr>
              <w:t>Lühendid ja mõisted</w:t>
            </w:r>
            <w:r w:rsidR="00496A33">
              <w:rPr>
                <w:noProof/>
                <w:webHidden/>
              </w:rPr>
              <w:tab/>
            </w:r>
            <w:r w:rsidR="00496A33">
              <w:rPr>
                <w:noProof/>
                <w:webHidden/>
              </w:rPr>
              <w:fldChar w:fldCharType="begin"/>
            </w:r>
            <w:r w:rsidR="00496A33">
              <w:rPr>
                <w:noProof/>
                <w:webHidden/>
              </w:rPr>
              <w:instrText xml:space="preserve"> PAGEREF _Toc228177579 \h </w:instrText>
            </w:r>
            <w:r w:rsidR="00496A33">
              <w:rPr>
                <w:noProof/>
                <w:webHidden/>
              </w:rPr>
            </w:r>
            <w:r w:rsidR="00496A33">
              <w:rPr>
                <w:noProof/>
                <w:webHidden/>
              </w:rPr>
              <w:fldChar w:fldCharType="separate"/>
            </w:r>
            <w:r w:rsidR="00496A33">
              <w:rPr>
                <w:noProof/>
                <w:webHidden/>
              </w:rPr>
              <w:t>2</w:t>
            </w:r>
            <w:r w:rsidR="00496A33">
              <w:rPr>
                <w:noProof/>
                <w:webHidden/>
              </w:rPr>
              <w:fldChar w:fldCharType="end"/>
            </w:r>
          </w:hyperlink>
        </w:p>
        <w:p w14:paraId="1A3A4B31" w14:textId="055EF630" w:rsidR="00496A33" w:rsidRDefault="00496A33">
          <w:pPr>
            <w:pStyle w:val="SK1"/>
            <w:tabs>
              <w:tab w:val="right" w:leader="dot" w:pos="9344"/>
            </w:tabs>
            <w:rPr>
              <w:rFonts w:asciiTheme="minorHAnsi" w:eastAsiaTheme="minorEastAsia" w:hAnsiTheme="minorHAnsi"/>
              <w:noProof/>
              <w:sz w:val="24"/>
              <w:lang w:eastAsia="et-EE"/>
            </w:rPr>
          </w:pPr>
          <w:hyperlink w:anchor="_Toc228177580" w:history="1">
            <w:r w:rsidRPr="003F2663">
              <w:rPr>
                <w:rStyle w:val="Hperlink"/>
                <w:noProof/>
              </w:rPr>
              <w:t>Sissejuhatus</w:t>
            </w:r>
            <w:r>
              <w:rPr>
                <w:noProof/>
                <w:webHidden/>
              </w:rPr>
              <w:tab/>
            </w:r>
            <w:r>
              <w:rPr>
                <w:noProof/>
                <w:webHidden/>
              </w:rPr>
              <w:fldChar w:fldCharType="begin"/>
            </w:r>
            <w:r>
              <w:rPr>
                <w:noProof/>
                <w:webHidden/>
              </w:rPr>
              <w:instrText xml:space="preserve"> PAGEREF _Toc228177580 \h </w:instrText>
            </w:r>
            <w:r>
              <w:rPr>
                <w:noProof/>
                <w:webHidden/>
              </w:rPr>
            </w:r>
            <w:r>
              <w:rPr>
                <w:noProof/>
                <w:webHidden/>
              </w:rPr>
              <w:fldChar w:fldCharType="separate"/>
            </w:r>
            <w:r>
              <w:rPr>
                <w:noProof/>
                <w:webHidden/>
              </w:rPr>
              <w:t>4</w:t>
            </w:r>
            <w:r>
              <w:rPr>
                <w:noProof/>
                <w:webHidden/>
              </w:rPr>
              <w:fldChar w:fldCharType="end"/>
            </w:r>
          </w:hyperlink>
        </w:p>
        <w:p w14:paraId="4963554A" w14:textId="4499A3B8" w:rsidR="00496A33" w:rsidRDefault="00496A33">
          <w:pPr>
            <w:pStyle w:val="SK1"/>
            <w:tabs>
              <w:tab w:val="right" w:leader="dot" w:pos="9344"/>
            </w:tabs>
            <w:rPr>
              <w:rFonts w:asciiTheme="minorHAnsi" w:eastAsiaTheme="minorEastAsia" w:hAnsiTheme="minorHAnsi"/>
              <w:noProof/>
              <w:sz w:val="24"/>
              <w:lang w:eastAsia="et-EE"/>
            </w:rPr>
          </w:pPr>
          <w:hyperlink w:anchor="_Toc228177581" w:history="1">
            <w:r w:rsidRPr="003F2663">
              <w:rPr>
                <w:rStyle w:val="Hperlink"/>
                <w:noProof/>
              </w:rPr>
              <w:t>Metoodika</w:t>
            </w:r>
            <w:r>
              <w:rPr>
                <w:noProof/>
                <w:webHidden/>
              </w:rPr>
              <w:tab/>
            </w:r>
            <w:r>
              <w:rPr>
                <w:noProof/>
                <w:webHidden/>
              </w:rPr>
              <w:fldChar w:fldCharType="begin"/>
            </w:r>
            <w:r>
              <w:rPr>
                <w:noProof/>
                <w:webHidden/>
              </w:rPr>
              <w:instrText xml:space="preserve"> PAGEREF _Toc228177581 \h </w:instrText>
            </w:r>
            <w:r>
              <w:rPr>
                <w:noProof/>
                <w:webHidden/>
              </w:rPr>
            </w:r>
            <w:r>
              <w:rPr>
                <w:noProof/>
                <w:webHidden/>
              </w:rPr>
              <w:fldChar w:fldCharType="separate"/>
            </w:r>
            <w:r>
              <w:rPr>
                <w:noProof/>
                <w:webHidden/>
              </w:rPr>
              <w:t>6</w:t>
            </w:r>
            <w:r>
              <w:rPr>
                <w:noProof/>
                <w:webHidden/>
              </w:rPr>
              <w:fldChar w:fldCharType="end"/>
            </w:r>
          </w:hyperlink>
        </w:p>
        <w:p w14:paraId="02CBE475" w14:textId="614ED14D" w:rsidR="00496A33" w:rsidRDefault="00496A33">
          <w:pPr>
            <w:pStyle w:val="SK1"/>
            <w:tabs>
              <w:tab w:val="left" w:pos="440"/>
              <w:tab w:val="right" w:leader="dot" w:pos="9344"/>
            </w:tabs>
            <w:rPr>
              <w:rFonts w:asciiTheme="minorHAnsi" w:eastAsiaTheme="minorEastAsia" w:hAnsiTheme="minorHAnsi"/>
              <w:noProof/>
              <w:sz w:val="24"/>
              <w:lang w:eastAsia="et-EE"/>
            </w:rPr>
          </w:pPr>
          <w:hyperlink w:anchor="_Toc228177582" w:history="1">
            <w:r w:rsidRPr="003F2663">
              <w:rPr>
                <w:rStyle w:val="Hperlink"/>
                <w:noProof/>
              </w:rPr>
              <w:t>1.</w:t>
            </w:r>
            <w:r>
              <w:rPr>
                <w:rFonts w:asciiTheme="minorHAnsi" w:eastAsiaTheme="minorEastAsia" w:hAnsiTheme="minorHAnsi"/>
                <w:noProof/>
                <w:sz w:val="24"/>
                <w:lang w:eastAsia="et-EE"/>
              </w:rPr>
              <w:tab/>
            </w:r>
            <w:r w:rsidRPr="003F2663">
              <w:rPr>
                <w:rStyle w:val="Hperlink"/>
                <w:noProof/>
              </w:rPr>
              <w:t>Analüüsi tulemused</w:t>
            </w:r>
            <w:r>
              <w:rPr>
                <w:noProof/>
                <w:webHidden/>
              </w:rPr>
              <w:tab/>
            </w:r>
            <w:r>
              <w:rPr>
                <w:noProof/>
                <w:webHidden/>
              </w:rPr>
              <w:fldChar w:fldCharType="begin"/>
            </w:r>
            <w:r>
              <w:rPr>
                <w:noProof/>
                <w:webHidden/>
              </w:rPr>
              <w:instrText xml:space="preserve"> PAGEREF _Toc228177582 \h </w:instrText>
            </w:r>
            <w:r>
              <w:rPr>
                <w:noProof/>
                <w:webHidden/>
              </w:rPr>
            </w:r>
            <w:r>
              <w:rPr>
                <w:noProof/>
                <w:webHidden/>
              </w:rPr>
              <w:fldChar w:fldCharType="separate"/>
            </w:r>
            <w:r>
              <w:rPr>
                <w:noProof/>
                <w:webHidden/>
              </w:rPr>
              <w:t>11</w:t>
            </w:r>
            <w:r>
              <w:rPr>
                <w:noProof/>
                <w:webHidden/>
              </w:rPr>
              <w:fldChar w:fldCharType="end"/>
            </w:r>
          </w:hyperlink>
        </w:p>
        <w:p w14:paraId="6308178C" w14:textId="1D2D3095" w:rsidR="00496A33" w:rsidRDefault="00496A33">
          <w:pPr>
            <w:pStyle w:val="SK2"/>
            <w:tabs>
              <w:tab w:val="left" w:pos="960"/>
              <w:tab w:val="right" w:leader="dot" w:pos="9344"/>
            </w:tabs>
            <w:rPr>
              <w:rFonts w:asciiTheme="minorHAnsi" w:eastAsiaTheme="minorEastAsia" w:hAnsiTheme="minorHAnsi"/>
              <w:noProof/>
              <w:sz w:val="24"/>
              <w:lang w:eastAsia="et-EE"/>
            </w:rPr>
          </w:pPr>
          <w:hyperlink w:anchor="_Toc228177583" w:history="1">
            <w:r w:rsidRPr="003F2663">
              <w:rPr>
                <w:rStyle w:val="Hperlink"/>
                <w:noProof/>
              </w:rPr>
              <w:t>1.1.</w:t>
            </w:r>
            <w:r>
              <w:rPr>
                <w:rFonts w:asciiTheme="minorHAnsi" w:eastAsiaTheme="minorEastAsia" w:hAnsiTheme="minorHAnsi"/>
                <w:noProof/>
                <w:sz w:val="24"/>
                <w:lang w:eastAsia="et-EE"/>
              </w:rPr>
              <w:tab/>
            </w:r>
            <w:r w:rsidRPr="003F2663">
              <w:rPr>
                <w:rStyle w:val="Hperlink"/>
                <w:noProof/>
              </w:rPr>
              <w:t>Juhtumiuuringute raamistik ja võrreldavad stsenaariumid</w:t>
            </w:r>
            <w:r>
              <w:rPr>
                <w:noProof/>
                <w:webHidden/>
              </w:rPr>
              <w:tab/>
            </w:r>
            <w:r>
              <w:rPr>
                <w:noProof/>
                <w:webHidden/>
              </w:rPr>
              <w:fldChar w:fldCharType="begin"/>
            </w:r>
            <w:r>
              <w:rPr>
                <w:noProof/>
                <w:webHidden/>
              </w:rPr>
              <w:instrText xml:space="preserve"> PAGEREF _Toc228177583 \h </w:instrText>
            </w:r>
            <w:r>
              <w:rPr>
                <w:noProof/>
                <w:webHidden/>
              </w:rPr>
            </w:r>
            <w:r>
              <w:rPr>
                <w:noProof/>
                <w:webHidden/>
              </w:rPr>
              <w:fldChar w:fldCharType="separate"/>
            </w:r>
            <w:r>
              <w:rPr>
                <w:noProof/>
                <w:webHidden/>
              </w:rPr>
              <w:t>11</w:t>
            </w:r>
            <w:r>
              <w:rPr>
                <w:noProof/>
                <w:webHidden/>
              </w:rPr>
              <w:fldChar w:fldCharType="end"/>
            </w:r>
          </w:hyperlink>
        </w:p>
        <w:p w14:paraId="487C34CC" w14:textId="42503EC3" w:rsidR="00496A33" w:rsidRDefault="00496A33">
          <w:pPr>
            <w:pStyle w:val="SK2"/>
            <w:tabs>
              <w:tab w:val="left" w:pos="960"/>
              <w:tab w:val="right" w:leader="dot" w:pos="9344"/>
            </w:tabs>
            <w:rPr>
              <w:rFonts w:asciiTheme="minorHAnsi" w:eastAsiaTheme="minorEastAsia" w:hAnsiTheme="minorHAnsi"/>
              <w:noProof/>
              <w:sz w:val="24"/>
              <w:lang w:eastAsia="et-EE"/>
            </w:rPr>
          </w:pPr>
          <w:hyperlink w:anchor="_Toc228177584" w:history="1">
            <w:r w:rsidRPr="003F2663">
              <w:rPr>
                <w:rStyle w:val="Hperlink"/>
                <w:noProof/>
              </w:rPr>
              <w:t>1.2.</w:t>
            </w:r>
            <w:r>
              <w:rPr>
                <w:rFonts w:asciiTheme="minorHAnsi" w:eastAsiaTheme="minorEastAsia" w:hAnsiTheme="minorHAnsi"/>
                <w:noProof/>
                <w:sz w:val="24"/>
                <w:lang w:eastAsia="et-EE"/>
              </w:rPr>
              <w:tab/>
            </w:r>
            <w:r w:rsidRPr="003F2663">
              <w:rPr>
                <w:rStyle w:val="Hperlink"/>
                <w:noProof/>
              </w:rPr>
              <w:t>Juhtumiuuringute majanduslikud põhitulemused</w:t>
            </w:r>
            <w:r>
              <w:rPr>
                <w:noProof/>
                <w:webHidden/>
              </w:rPr>
              <w:tab/>
            </w:r>
            <w:r>
              <w:rPr>
                <w:noProof/>
                <w:webHidden/>
              </w:rPr>
              <w:fldChar w:fldCharType="begin"/>
            </w:r>
            <w:r>
              <w:rPr>
                <w:noProof/>
                <w:webHidden/>
              </w:rPr>
              <w:instrText xml:space="preserve"> PAGEREF _Toc228177584 \h </w:instrText>
            </w:r>
            <w:r>
              <w:rPr>
                <w:noProof/>
                <w:webHidden/>
              </w:rPr>
            </w:r>
            <w:r>
              <w:rPr>
                <w:noProof/>
                <w:webHidden/>
              </w:rPr>
              <w:fldChar w:fldCharType="separate"/>
            </w:r>
            <w:r>
              <w:rPr>
                <w:noProof/>
                <w:webHidden/>
              </w:rPr>
              <w:t>11</w:t>
            </w:r>
            <w:r>
              <w:rPr>
                <w:noProof/>
                <w:webHidden/>
              </w:rPr>
              <w:fldChar w:fldCharType="end"/>
            </w:r>
          </w:hyperlink>
        </w:p>
        <w:p w14:paraId="600245E8" w14:textId="467818B0" w:rsidR="00496A33" w:rsidRDefault="00496A33">
          <w:pPr>
            <w:pStyle w:val="SK3"/>
            <w:tabs>
              <w:tab w:val="left" w:pos="1440"/>
              <w:tab w:val="right" w:leader="dot" w:pos="9344"/>
            </w:tabs>
            <w:rPr>
              <w:rFonts w:asciiTheme="minorHAnsi" w:eastAsiaTheme="minorEastAsia" w:hAnsiTheme="minorHAnsi"/>
              <w:noProof/>
              <w:sz w:val="24"/>
              <w:lang w:eastAsia="et-EE"/>
            </w:rPr>
          </w:pPr>
          <w:hyperlink w:anchor="_Toc228177585" w:history="1">
            <w:r w:rsidRPr="003F2663">
              <w:rPr>
                <w:rStyle w:val="Hperlink"/>
                <w:noProof/>
              </w:rPr>
              <w:t>1.2.1.</w:t>
            </w:r>
            <w:r>
              <w:rPr>
                <w:rFonts w:asciiTheme="minorHAnsi" w:eastAsiaTheme="minorEastAsia" w:hAnsiTheme="minorHAnsi"/>
                <w:noProof/>
                <w:sz w:val="24"/>
                <w:lang w:eastAsia="et-EE"/>
              </w:rPr>
              <w:tab/>
            </w:r>
            <w:r w:rsidRPr="003F2663">
              <w:rPr>
                <w:rStyle w:val="Hperlink"/>
                <w:noProof/>
              </w:rPr>
              <w:t>Rahavoogude NPV ja CAPEX</w:t>
            </w:r>
            <w:r>
              <w:rPr>
                <w:noProof/>
                <w:webHidden/>
              </w:rPr>
              <w:tab/>
            </w:r>
            <w:r>
              <w:rPr>
                <w:noProof/>
                <w:webHidden/>
              </w:rPr>
              <w:fldChar w:fldCharType="begin"/>
            </w:r>
            <w:r>
              <w:rPr>
                <w:noProof/>
                <w:webHidden/>
              </w:rPr>
              <w:instrText xml:space="preserve"> PAGEREF _Toc228177585 \h </w:instrText>
            </w:r>
            <w:r>
              <w:rPr>
                <w:noProof/>
                <w:webHidden/>
              </w:rPr>
            </w:r>
            <w:r>
              <w:rPr>
                <w:noProof/>
                <w:webHidden/>
              </w:rPr>
              <w:fldChar w:fldCharType="separate"/>
            </w:r>
            <w:r>
              <w:rPr>
                <w:noProof/>
                <w:webHidden/>
              </w:rPr>
              <w:t>11</w:t>
            </w:r>
            <w:r>
              <w:rPr>
                <w:noProof/>
                <w:webHidden/>
              </w:rPr>
              <w:fldChar w:fldCharType="end"/>
            </w:r>
          </w:hyperlink>
        </w:p>
        <w:p w14:paraId="5240C047" w14:textId="315ECB68" w:rsidR="00496A33" w:rsidRDefault="00496A33">
          <w:pPr>
            <w:pStyle w:val="SK3"/>
            <w:tabs>
              <w:tab w:val="left" w:pos="1440"/>
              <w:tab w:val="right" w:leader="dot" w:pos="9344"/>
            </w:tabs>
            <w:rPr>
              <w:rFonts w:asciiTheme="minorHAnsi" w:eastAsiaTheme="minorEastAsia" w:hAnsiTheme="minorHAnsi"/>
              <w:noProof/>
              <w:sz w:val="24"/>
              <w:lang w:eastAsia="et-EE"/>
            </w:rPr>
          </w:pPr>
          <w:hyperlink w:anchor="_Toc228177586" w:history="1">
            <w:r w:rsidRPr="003F2663">
              <w:rPr>
                <w:rStyle w:val="Hperlink"/>
                <w:noProof/>
              </w:rPr>
              <w:t>1.2.2.</w:t>
            </w:r>
            <w:r>
              <w:rPr>
                <w:rFonts w:asciiTheme="minorHAnsi" w:eastAsiaTheme="minorEastAsia" w:hAnsiTheme="minorHAnsi"/>
                <w:noProof/>
                <w:sz w:val="24"/>
                <w:lang w:eastAsia="et-EE"/>
              </w:rPr>
              <w:tab/>
            </w:r>
            <w:r w:rsidRPr="003F2663">
              <w:rPr>
                <w:rStyle w:val="Hperlink"/>
                <w:noProof/>
              </w:rPr>
              <w:t>Ühikukulu võrdlus OPEX-i alusel</w:t>
            </w:r>
            <w:r>
              <w:rPr>
                <w:noProof/>
                <w:webHidden/>
              </w:rPr>
              <w:tab/>
            </w:r>
            <w:r>
              <w:rPr>
                <w:noProof/>
                <w:webHidden/>
              </w:rPr>
              <w:fldChar w:fldCharType="begin"/>
            </w:r>
            <w:r>
              <w:rPr>
                <w:noProof/>
                <w:webHidden/>
              </w:rPr>
              <w:instrText xml:space="preserve"> PAGEREF _Toc228177586 \h </w:instrText>
            </w:r>
            <w:r>
              <w:rPr>
                <w:noProof/>
                <w:webHidden/>
              </w:rPr>
            </w:r>
            <w:r>
              <w:rPr>
                <w:noProof/>
                <w:webHidden/>
              </w:rPr>
              <w:fldChar w:fldCharType="separate"/>
            </w:r>
            <w:r>
              <w:rPr>
                <w:noProof/>
                <w:webHidden/>
              </w:rPr>
              <w:t>12</w:t>
            </w:r>
            <w:r>
              <w:rPr>
                <w:noProof/>
                <w:webHidden/>
              </w:rPr>
              <w:fldChar w:fldCharType="end"/>
            </w:r>
          </w:hyperlink>
        </w:p>
        <w:p w14:paraId="191D4C52" w14:textId="5D9EE534" w:rsidR="00496A33" w:rsidRDefault="00496A33">
          <w:pPr>
            <w:pStyle w:val="SK3"/>
            <w:tabs>
              <w:tab w:val="left" w:pos="1440"/>
              <w:tab w:val="right" w:leader="dot" w:pos="9344"/>
            </w:tabs>
            <w:rPr>
              <w:rFonts w:asciiTheme="minorHAnsi" w:eastAsiaTheme="minorEastAsia" w:hAnsiTheme="minorHAnsi"/>
              <w:noProof/>
              <w:sz w:val="24"/>
              <w:lang w:eastAsia="et-EE"/>
            </w:rPr>
          </w:pPr>
          <w:hyperlink w:anchor="_Toc228177587" w:history="1">
            <w:r w:rsidRPr="003F2663">
              <w:rPr>
                <w:rStyle w:val="Hperlink"/>
                <w:noProof/>
              </w:rPr>
              <w:t>1.2.3.</w:t>
            </w:r>
            <w:r>
              <w:rPr>
                <w:rFonts w:asciiTheme="minorHAnsi" w:eastAsiaTheme="minorEastAsia" w:hAnsiTheme="minorHAnsi"/>
                <w:noProof/>
                <w:sz w:val="24"/>
                <w:lang w:eastAsia="et-EE"/>
              </w:rPr>
              <w:tab/>
            </w:r>
            <w:r w:rsidRPr="003F2663">
              <w:rPr>
                <w:rStyle w:val="Hperlink"/>
                <w:noProof/>
              </w:rPr>
              <w:t>BAU-ga võrreldav ühikukulu vahe ja potentsiaalne mõju tarbijale</w:t>
            </w:r>
            <w:r>
              <w:rPr>
                <w:noProof/>
                <w:webHidden/>
              </w:rPr>
              <w:tab/>
            </w:r>
            <w:r>
              <w:rPr>
                <w:noProof/>
                <w:webHidden/>
              </w:rPr>
              <w:fldChar w:fldCharType="begin"/>
            </w:r>
            <w:r>
              <w:rPr>
                <w:noProof/>
                <w:webHidden/>
              </w:rPr>
              <w:instrText xml:space="preserve"> PAGEREF _Toc228177587 \h </w:instrText>
            </w:r>
            <w:r>
              <w:rPr>
                <w:noProof/>
                <w:webHidden/>
              </w:rPr>
            </w:r>
            <w:r>
              <w:rPr>
                <w:noProof/>
                <w:webHidden/>
              </w:rPr>
              <w:fldChar w:fldCharType="separate"/>
            </w:r>
            <w:r>
              <w:rPr>
                <w:noProof/>
                <w:webHidden/>
              </w:rPr>
              <w:t>15</w:t>
            </w:r>
            <w:r>
              <w:rPr>
                <w:noProof/>
                <w:webHidden/>
              </w:rPr>
              <w:fldChar w:fldCharType="end"/>
            </w:r>
          </w:hyperlink>
        </w:p>
        <w:p w14:paraId="1405A82E" w14:textId="31C42B37" w:rsidR="00496A33" w:rsidRDefault="00496A33">
          <w:pPr>
            <w:pStyle w:val="SK3"/>
            <w:tabs>
              <w:tab w:val="left" w:pos="1440"/>
              <w:tab w:val="right" w:leader="dot" w:pos="9344"/>
            </w:tabs>
            <w:rPr>
              <w:rFonts w:asciiTheme="minorHAnsi" w:eastAsiaTheme="minorEastAsia" w:hAnsiTheme="minorHAnsi"/>
              <w:noProof/>
              <w:sz w:val="24"/>
              <w:lang w:eastAsia="et-EE"/>
            </w:rPr>
          </w:pPr>
          <w:hyperlink w:anchor="_Toc228177588" w:history="1">
            <w:r w:rsidRPr="003F2663">
              <w:rPr>
                <w:rStyle w:val="Hperlink"/>
                <w:noProof/>
              </w:rPr>
              <w:t>1.2.4.</w:t>
            </w:r>
            <w:r>
              <w:rPr>
                <w:rFonts w:asciiTheme="minorHAnsi" w:eastAsiaTheme="minorEastAsia" w:hAnsiTheme="minorHAnsi"/>
                <w:noProof/>
                <w:sz w:val="24"/>
                <w:lang w:eastAsia="et-EE"/>
              </w:rPr>
              <w:tab/>
            </w:r>
            <w:r w:rsidRPr="003F2663">
              <w:rPr>
                <w:rStyle w:val="Hperlink"/>
                <w:noProof/>
              </w:rPr>
              <w:t>Tundlikkusanalüüs</w:t>
            </w:r>
            <w:r>
              <w:rPr>
                <w:noProof/>
                <w:webHidden/>
              </w:rPr>
              <w:tab/>
            </w:r>
            <w:r>
              <w:rPr>
                <w:noProof/>
                <w:webHidden/>
              </w:rPr>
              <w:fldChar w:fldCharType="begin"/>
            </w:r>
            <w:r>
              <w:rPr>
                <w:noProof/>
                <w:webHidden/>
              </w:rPr>
              <w:instrText xml:space="preserve"> PAGEREF _Toc228177588 \h </w:instrText>
            </w:r>
            <w:r>
              <w:rPr>
                <w:noProof/>
                <w:webHidden/>
              </w:rPr>
            </w:r>
            <w:r>
              <w:rPr>
                <w:noProof/>
                <w:webHidden/>
              </w:rPr>
              <w:fldChar w:fldCharType="separate"/>
            </w:r>
            <w:r>
              <w:rPr>
                <w:noProof/>
                <w:webHidden/>
              </w:rPr>
              <w:t>16</w:t>
            </w:r>
            <w:r>
              <w:rPr>
                <w:noProof/>
                <w:webHidden/>
              </w:rPr>
              <w:fldChar w:fldCharType="end"/>
            </w:r>
          </w:hyperlink>
        </w:p>
        <w:p w14:paraId="38119DA4" w14:textId="0AE5776D" w:rsidR="00496A33" w:rsidRDefault="00496A33">
          <w:pPr>
            <w:pStyle w:val="SK2"/>
            <w:tabs>
              <w:tab w:val="left" w:pos="960"/>
              <w:tab w:val="right" w:leader="dot" w:pos="9344"/>
            </w:tabs>
            <w:rPr>
              <w:rFonts w:asciiTheme="minorHAnsi" w:eastAsiaTheme="minorEastAsia" w:hAnsiTheme="minorHAnsi"/>
              <w:noProof/>
              <w:sz w:val="24"/>
              <w:lang w:eastAsia="et-EE"/>
            </w:rPr>
          </w:pPr>
          <w:hyperlink w:anchor="_Toc228177589" w:history="1">
            <w:r w:rsidRPr="003F2663">
              <w:rPr>
                <w:rStyle w:val="Hperlink"/>
                <w:noProof/>
              </w:rPr>
              <w:t>1.3.</w:t>
            </w:r>
            <w:r>
              <w:rPr>
                <w:rFonts w:asciiTheme="minorHAnsi" w:eastAsiaTheme="minorEastAsia" w:hAnsiTheme="minorHAnsi"/>
                <w:noProof/>
                <w:sz w:val="24"/>
                <w:lang w:eastAsia="et-EE"/>
              </w:rPr>
              <w:tab/>
            </w:r>
            <w:r w:rsidRPr="003F2663">
              <w:rPr>
                <w:rStyle w:val="Hperlink"/>
                <w:noProof/>
              </w:rPr>
              <w:t>Rakendatavus ja operatiivsed mõjud – ettevõtete kvalitatiivne sisend</w:t>
            </w:r>
            <w:r>
              <w:rPr>
                <w:noProof/>
                <w:webHidden/>
              </w:rPr>
              <w:tab/>
            </w:r>
            <w:r>
              <w:rPr>
                <w:noProof/>
                <w:webHidden/>
              </w:rPr>
              <w:fldChar w:fldCharType="begin"/>
            </w:r>
            <w:r>
              <w:rPr>
                <w:noProof/>
                <w:webHidden/>
              </w:rPr>
              <w:instrText xml:space="preserve"> PAGEREF _Toc228177589 \h </w:instrText>
            </w:r>
            <w:r>
              <w:rPr>
                <w:noProof/>
                <w:webHidden/>
              </w:rPr>
            </w:r>
            <w:r>
              <w:rPr>
                <w:noProof/>
                <w:webHidden/>
              </w:rPr>
              <w:fldChar w:fldCharType="separate"/>
            </w:r>
            <w:r>
              <w:rPr>
                <w:noProof/>
                <w:webHidden/>
              </w:rPr>
              <w:t>18</w:t>
            </w:r>
            <w:r>
              <w:rPr>
                <w:noProof/>
                <w:webHidden/>
              </w:rPr>
              <w:fldChar w:fldCharType="end"/>
            </w:r>
          </w:hyperlink>
        </w:p>
        <w:p w14:paraId="16D96782" w14:textId="0655E34A" w:rsidR="00496A33" w:rsidRDefault="00496A33">
          <w:pPr>
            <w:pStyle w:val="SK2"/>
            <w:tabs>
              <w:tab w:val="left" w:pos="960"/>
              <w:tab w:val="right" w:leader="dot" w:pos="9344"/>
            </w:tabs>
            <w:rPr>
              <w:rFonts w:asciiTheme="minorHAnsi" w:eastAsiaTheme="minorEastAsia" w:hAnsiTheme="minorHAnsi"/>
              <w:noProof/>
              <w:sz w:val="24"/>
              <w:lang w:eastAsia="et-EE"/>
            </w:rPr>
          </w:pPr>
          <w:hyperlink w:anchor="_Toc228177590" w:history="1">
            <w:r w:rsidRPr="003F2663">
              <w:rPr>
                <w:rStyle w:val="Hperlink"/>
                <w:noProof/>
              </w:rPr>
              <w:t>1.4.</w:t>
            </w:r>
            <w:r>
              <w:rPr>
                <w:rFonts w:asciiTheme="minorHAnsi" w:eastAsiaTheme="minorEastAsia" w:hAnsiTheme="minorHAnsi"/>
                <w:noProof/>
                <w:sz w:val="24"/>
                <w:lang w:eastAsia="et-EE"/>
              </w:rPr>
              <w:tab/>
            </w:r>
            <w:r w:rsidRPr="003F2663">
              <w:rPr>
                <w:rStyle w:val="Hperlink"/>
                <w:noProof/>
              </w:rPr>
              <w:t>Keskkonna- ja sotsiaalmõjud korduskasutusnõude kasutamisel suletud süsteemis</w:t>
            </w:r>
            <w:r>
              <w:rPr>
                <w:noProof/>
                <w:webHidden/>
              </w:rPr>
              <w:tab/>
            </w:r>
            <w:r>
              <w:rPr>
                <w:noProof/>
                <w:webHidden/>
              </w:rPr>
              <w:fldChar w:fldCharType="begin"/>
            </w:r>
            <w:r>
              <w:rPr>
                <w:noProof/>
                <w:webHidden/>
              </w:rPr>
              <w:instrText xml:space="preserve"> PAGEREF _Toc228177590 \h </w:instrText>
            </w:r>
            <w:r>
              <w:rPr>
                <w:noProof/>
                <w:webHidden/>
              </w:rPr>
            </w:r>
            <w:r>
              <w:rPr>
                <w:noProof/>
                <w:webHidden/>
              </w:rPr>
              <w:fldChar w:fldCharType="separate"/>
            </w:r>
            <w:r>
              <w:rPr>
                <w:noProof/>
                <w:webHidden/>
              </w:rPr>
              <w:t>19</w:t>
            </w:r>
            <w:r>
              <w:rPr>
                <w:noProof/>
                <w:webHidden/>
              </w:rPr>
              <w:fldChar w:fldCharType="end"/>
            </w:r>
          </w:hyperlink>
        </w:p>
        <w:p w14:paraId="2D64B248" w14:textId="3B9B82C1" w:rsidR="00496A33" w:rsidRDefault="00496A33">
          <w:pPr>
            <w:pStyle w:val="SK2"/>
            <w:tabs>
              <w:tab w:val="left" w:pos="960"/>
              <w:tab w:val="right" w:leader="dot" w:pos="9344"/>
            </w:tabs>
            <w:rPr>
              <w:rFonts w:asciiTheme="minorHAnsi" w:eastAsiaTheme="minorEastAsia" w:hAnsiTheme="minorHAnsi"/>
              <w:noProof/>
              <w:sz w:val="24"/>
              <w:lang w:eastAsia="et-EE"/>
            </w:rPr>
          </w:pPr>
          <w:hyperlink w:anchor="_Toc228177591" w:history="1">
            <w:r w:rsidRPr="003F2663">
              <w:rPr>
                <w:rStyle w:val="Hperlink"/>
                <w:noProof/>
              </w:rPr>
              <w:t>1.5.</w:t>
            </w:r>
            <w:r>
              <w:rPr>
                <w:rFonts w:asciiTheme="minorHAnsi" w:eastAsiaTheme="minorEastAsia" w:hAnsiTheme="minorHAnsi"/>
                <w:noProof/>
                <w:sz w:val="24"/>
                <w:lang w:eastAsia="et-EE"/>
              </w:rPr>
              <w:tab/>
            </w:r>
            <w:r w:rsidRPr="003F2663">
              <w:rPr>
                <w:rStyle w:val="Hperlink"/>
                <w:noProof/>
              </w:rPr>
              <w:t>Ühisosa ja järeldused stsenaariumite võrdluses</w:t>
            </w:r>
            <w:r>
              <w:rPr>
                <w:noProof/>
                <w:webHidden/>
              </w:rPr>
              <w:tab/>
            </w:r>
            <w:r>
              <w:rPr>
                <w:noProof/>
                <w:webHidden/>
              </w:rPr>
              <w:fldChar w:fldCharType="begin"/>
            </w:r>
            <w:r>
              <w:rPr>
                <w:noProof/>
                <w:webHidden/>
              </w:rPr>
              <w:instrText xml:space="preserve"> PAGEREF _Toc228177591 \h </w:instrText>
            </w:r>
            <w:r>
              <w:rPr>
                <w:noProof/>
                <w:webHidden/>
              </w:rPr>
            </w:r>
            <w:r>
              <w:rPr>
                <w:noProof/>
                <w:webHidden/>
              </w:rPr>
              <w:fldChar w:fldCharType="separate"/>
            </w:r>
            <w:r>
              <w:rPr>
                <w:noProof/>
                <w:webHidden/>
              </w:rPr>
              <w:t>20</w:t>
            </w:r>
            <w:r>
              <w:rPr>
                <w:noProof/>
                <w:webHidden/>
              </w:rPr>
              <w:fldChar w:fldCharType="end"/>
            </w:r>
          </w:hyperlink>
        </w:p>
        <w:p w14:paraId="0B1835A6" w14:textId="483313DA" w:rsidR="00496A33" w:rsidRDefault="00496A33">
          <w:pPr>
            <w:pStyle w:val="SK1"/>
            <w:tabs>
              <w:tab w:val="right" w:leader="dot" w:pos="9344"/>
            </w:tabs>
            <w:rPr>
              <w:rFonts w:asciiTheme="minorHAnsi" w:eastAsiaTheme="minorEastAsia" w:hAnsiTheme="minorHAnsi"/>
              <w:noProof/>
              <w:sz w:val="24"/>
              <w:lang w:eastAsia="et-EE"/>
            </w:rPr>
          </w:pPr>
          <w:hyperlink w:anchor="_Toc228177592" w:history="1">
            <w:r w:rsidRPr="003F2663">
              <w:rPr>
                <w:rStyle w:val="Hperlink"/>
                <w:noProof/>
              </w:rPr>
              <w:t>Lisad</w:t>
            </w:r>
            <w:r>
              <w:rPr>
                <w:noProof/>
                <w:webHidden/>
              </w:rPr>
              <w:tab/>
            </w:r>
            <w:r>
              <w:rPr>
                <w:noProof/>
                <w:webHidden/>
              </w:rPr>
              <w:fldChar w:fldCharType="begin"/>
            </w:r>
            <w:r>
              <w:rPr>
                <w:noProof/>
                <w:webHidden/>
              </w:rPr>
              <w:instrText xml:space="preserve"> PAGEREF _Toc228177592 \h </w:instrText>
            </w:r>
            <w:r>
              <w:rPr>
                <w:noProof/>
                <w:webHidden/>
              </w:rPr>
            </w:r>
            <w:r>
              <w:rPr>
                <w:noProof/>
                <w:webHidden/>
              </w:rPr>
              <w:fldChar w:fldCharType="separate"/>
            </w:r>
            <w:r>
              <w:rPr>
                <w:noProof/>
                <w:webHidden/>
              </w:rPr>
              <w:t>22</w:t>
            </w:r>
            <w:r>
              <w:rPr>
                <w:noProof/>
                <w:webHidden/>
              </w:rPr>
              <w:fldChar w:fldCharType="end"/>
            </w:r>
          </w:hyperlink>
        </w:p>
        <w:p w14:paraId="3ACECB57" w14:textId="514226BD" w:rsidR="00496A33" w:rsidRDefault="00496A33">
          <w:pPr>
            <w:pStyle w:val="SK2"/>
            <w:tabs>
              <w:tab w:val="right" w:leader="dot" w:pos="9344"/>
            </w:tabs>
            <w:rPr>
              <w:rFonts w:asciiTheme="minorHAnsi" w:eastAsiaTheme="minorEastAsia" w:hAnsiTheme="minorHAnsi"/>
              <w:noProof/>
              <w:sz w:val="24"/>
              <w:lang w:eastAsia="et-EE"/>
            </w:rPr>
          </w:pPr>
          <w:hyperlink w:anchor="_Toc228177593" w:history="1">
            <w:r w:rsidRPr="003F2663">
              <w:rPr>
                <w:rStyle w:val="Hperlink"/>
                <w:noProof/>
              </w:rPr>
              <w:t>Lisa 1. Küsimustiku näidisvorm</w:t>
            </w:r>
            <w:r>
              <w:rPr>
                <w:noProof/>
                <w:webHidden/>
              </w:rPr>
              <w:tab/>
            </w:r>
            <w:r>
              <w:rPr>
                <w:noProof/>
                <w:webHidden/>
              </w:rPr>
              <w:fldChar w:fldCharType="begin"/>
            </w:r>
            <w:r>
              <w:rPr>
                <w:noProof/>
                <w:webHidden/>
              </w:rPr>
              <w:instrText xml:space="preserve"> PAGEREF _Toc228177593 \h </w:instrText>
            </w:r>
            <w:r>
              <w:rPr>
                <w:noProof/>
                <w:webHidden/>
              </w:rPr>
            </w:r>
            <w:r>
              <w:rPr>
                <w:noProof/>
                <w:webHidden/>
              </w:rPr>
              <w:fldChar w:fldCharType="separate"/>
            </w:r>
            <w:r>
              <w:rPr>
                <w:noProof/>
                <w:webHidden/>
              </w:rPr>
              <w:t>22</w:t>
            </w:r>
            <w:r>
              <w:rPr>
                <w:noProof/>
                <w:webHidden/>
              </w:rPr>
              <w:fldChar w:fldCharType="end"/>
            </w:r>
          </w:hyperlink>
        </w:p>
        <w:p w14:paraId="2A5B9EA0" w14:textId="13FC6245" w:rsidR="00496A33" w:rsidRDefault="00496A33">
          <w:pPr>
            <w:pStyle w:val="SK2"/>
            <w:tabs>
              <w:tab w:val="right" w:leader="dot" w:pos="9344"/>
            </w:tabs>
            <w:rPr>
              <w:rFonts w:asciiTheme="minorHAnsi" w:eastAsiaTheme="minorEastAsia" w:hAnsiTheme="minorHAnsi"/>
              <w:noProof/>
              <w:sz w:val="24"/>
              <w:lang w:eastAsia="et-EE"/>
            </w:rPr>
          </w:pPr>
          <w:hyperlink w:anchor="_Toc228177594" w:history="1">
            <w:r w:rsidRPr="003F2663">
              <w:rPr>
                <w:rStyle w:val="Hperlink"/>
                <w:noProof/>
              </w:rPr>
              <w:t>Lisa 2. Tundlikkusanalüüsi võtmeparameetrite ebakindluse klassid ja soovituslikud vahemikud</w:t>
            </w:r>
            <w:r>
              <w:rPr>
                <w:noProof/>
                <w:webHidden/>
              </w:rPr>
              <w:tab/>
            </w:r>
            <w:r>
              <w:rPr>
                <w:noProof/>
                <w:webHidden/>
              </w:rPr>
              <w:fldChar w:fldCharType="begin"/>
            </w:r>
            <w:r>
              <w:rPr>
                <w:noProof/>
                <w:webHidden/>
              </w:rPr>
              <w:instrText xml:space="preserve"> PAGEREF _Toc228177594 \h </w:instrText>
            </w:r>
            <w:r>
              <w:rPr>
                <w:noProof/>
                <w:webHidden/>
              </w:rPr>
            </w:r>
            <w:r>
              <w:rPr>
                <w:noProof/>
                <w:webHidden/>
              </w:rPr>
              <w:fldChar w:fldCharType="separate"/>
            </w:r>
            <w:r>
              <w:rPr>
                <w:noProof/>
                <w:webHidden/>
              </w:rPr>
              <w:t>24</w:t>
            </w:r>
            <w:r>
              <w:rPr>
                <w:noProof/>
                <w:webHidden/>
              </w:rPr>
              <w:fldChar w:fldCharType="end"/>
            </w:r>
          </w:hyperlink>
        </w:p>
        <w:p w14:paraId="17E127AF" w14:textId="003788EA" w:rsidR="00496A33" w:rsidRDefault="00496A33">
          <w:pPr>
            <w:pStyle w:val="SK2"/>
            <w:tabs>
              <w:tab w:val="right" w:leader="dot" w:pos="9344"/>
            </w:tabs>
            <w:rPr>
              <w:rFonts w:asciiTheme="minorHAnsi" w:eastAsiaTheme="minorEastAsia" w:hAnsiTheme="minorHAnsi"/>
              <w:noProof/>
              <w:sz w:val="24"/>
              <w:lang w:eastAsia="et-EE"/>
            </w:rPr>
          </w:pPr>
          <w:hyperlink w:anchor="_Toc228177595" w:history="1">
            <w:r w:rsidRPr="003F2663">
              <w:rPr>
                <w:rStyle w:val="Hperlink"/>
                <w:noProof/>
              </w:rPr>
              <w:t>Lisa 3. Tundlikkusanalüüsis kasutatavad stsenaariumipõhised kordajad</w:t>
            </w:r>
            <w:r>
              <w:rPr>
                <w:noProof/>
                <w:webHidden/>
              </w:rPr>
              <w:tab/>
            </w:r>
            <w:r>
              <w:rPr>
                <w:noProof/>
                <w:webHidden/>
              </w:rPr>
              <w:fldChar w:fldCharType="begin"/>
            </w:r>
            <w:r>
              <w:rPr>
                <w:noProof/>
                <w:webHidden/>
              </w:rPr>
              <w:instrText xml:space="preserve"> PAGEREF _Toc228177595 \h </w:instrText>
            </w:r>
            <w:r>
              <w:rPr>
                <w:noProof/>
                <w:webHidden/>
              </w:rPr>
            </w:r>
            <w:r>
              <w:rPr>
                <w:noProof/>
                <w:webHidden/>
              </w:rPr>
              <w:fldChar w:fldCharType="separate"/>
            </w:r>
            <w:r>
              <w:rPr>
                <w:noProof/>
                <w:webHidden/>
              </w:rPr>
              <w:t>25</w:t>
            </w:r>
            <w:r>
              <w:rPr>
                <w:noProof/>
                <w:webHidden/>
              </w:rPr>
              <w:fldChar w:fldCharType="end"/>
            </w:r>
          </w:hyperlink>
        </w:p>
        <w:p w14:paraId="2242EB5B" w14:textId="33BC29F5" w:rsidR="00746625" w:rsidRDefault="00746625">
          <w:r w:rsidRPr="00746625">
            <w:rPr>
              <w:b/>
              <w:bCs/>
              <w:szCs w:val="22"/>
            </w:rPr>
            <w:fldChar w:fldCharType="end"/>
          </w:r>
        </w:p>
      </w:sdtContent>
    </w:sdt>
    <w:p w14:paraId="7C4BC4F7" w14:textId="77777777" w:rsidR="00746625" w:rsidRDefault="00746625" w:rsidP="00B70BAF">
      <w:pPr>
        <w:spacing w:after="0" w:line="276" w:lineRule="auto"/>
        <w:rPr>
          <w:szCs w:val="22"/>
        </w:rPr>
      </w:pPr>
    </w:p>
    <w:p w14:paraId="01D03FCE" w14:textId="7ED3A665" w:rsidR="00747E66" w:rsidRDefault="00747E66">
      <w:pPr>
        <w:jc w:val="left"/>
        <w:rPr>
          <w:rFonts w:asciiTheme="majorHAnsi" w:eastAsiaTheme="majorEastAsia" w:hAnsiTheme="majorHAnsi" w:cstheme="majorBidi"/>
          <w:color w:val="0F4761" w:themeColor="accent1" w:themeShade="BF"/>
          <w:sz w:val="32"/>
          <w:szCs w:val="40"/>
        </w:rPr>
      </w:pPr>
      <w:r>
        <w:br w:type="page"/>
      </w:r>
    </w:p>
    <w:p w14:paraId="2610D852" w14:textId="77777777" w:rsidR="00A85D20" w:rsidRDefault="00572CCE" w:rsidP="00572CCE">
      <w:pPr>
        <w:pStyle w:val="Pealkiri1"/>
      </w:pPr>
      <w:bookmarkStart w:id="0" w:name="_Toc228177579"/>
      <w:bookmarkStart w:id="1" w:name="_Ref221182884"/>
      <w:r>
        <w:lastRenderedPageBreak/>
        <w:t>Lühendid ja mõisted</w:t>
      </w:r>
      <w:bookmarkEnd w:id="0"/>
    </w:p>
    <w:p w14:paraId="43DF74DA" w14:textId="77777777" w:rsidR="00F06462" w:rsidRDefault="00F06462" w:rsidP="00BF1235">
      <w:pPr>
        <w:jc w:val="left"/>
        <w:rPr>
          <w:b/>
          <w:bCs/>
        </w:rPr>
      </w:pPr>
    </w:p>
    <w:p w14:paraId="79DBE8EA" w14:textId="7A44FE5F" w:rsidR="00BF1235" w:rsidRDefault="00BF1235" w:rsidP="00BF1235">
      <w:pPr>
        <w:jc w:val="left"/>
      </w:pPr>
      <w:r w:rsidRPr="00BF1235">
        <w:rPr>
          <w:b/>
          <w:bCs/>
        </w:rPr>
        <w:t>BAU</w:t>
      </w:r>
      <w:r>
        <w:t xml:space="preserve"> </w:t>
      </w:r>
      <w:r w:rsidRPr="00F06462">
        <w:rPr>
          <w:b/>
          <w:bCs/>
        </w:rPr>
        <w:t xml:space="preserve">(Business as </w:t>
      </w:r>
      <w:proofErr w:type="spellStart"/>
      <w:r w:rsidRPr="00F06462">
        <w:rPr>
          <w:b/>
          <w:bCs/>
        </w:rPr>
        <w:t>usual</w:t>
      </w:r>
      <w:proofErr w:type="spellEnd"/>
      <w:r w:rsidRPr="00F06462">
        <w:rPr>
          <w:b/>
          <w:bCs/>
        </w:rPr>
        <w:t>)</w:t>
      </w:r>
      <w:r>
        <w:t xml:space="preserve"> </w:t>
      </w:r>
      <w:r w:rsidR="00F06462">
        <w:t>–</w:t>
      </w:r>
      <w:r>
        <w:t xml:space="preserve"> võrdlusstsenaarium (mittesekkumine), mis kirjeldab olukorda ilma täiendava sekkumiseta: ühekordsete pakendite kasutus jätkub ning kehtivad jäätmekäitlus‑ ja tootjavastutuse kulud.</w:t>
      </w:r>
    </w:p>
    <w:p w14:paraId="5F64614B" w14:textId="14D54AED" w:rsidR="00BF1235" w:rsidRDefault="00BF1235" w:rsidP="00BF1235">
      <w:pPr>
        <w:jc w:val="left"/>
      </w:pPr>
      <w:r w:rsidRPr="00F06462">
        <w:rPr>
          <w:b/>
          <w:bCs/>
        </w:rPr>
        <w:t xml:space="preserve">CAPEX (Capital </w:t>
      </w:r>
      <w:proofErr w:type="spellStart"/>
      <w:r w:rsidRPr="00F06462">
        <w:rPr>
          <w:b/>
          <w:bCs/>
        </w:rPr>
        <w:t>expenditure</w:t>
      </w:r>
      <w:proofErr w:type="spellEnd"/>
      <w:r w:rsidR="00F06462">
        <w:rPr>
          <w:b/>
          <w:bCs/>
        </w:rPr>
        <w:t xml:space="preserve">) </w:t>
      </w:r>
      <w:r w:rsidR="00F06462" w:rsidRPr="00F06462">
        <w:t>– ü</w:t>
      </w:r>
      <w:r>
        <w:t>hekordsed alginvesteeringud süsteemi käivitamiseks (nt pesu‑ ja kuivatustehnika, ruumilahendus, pesuliin, algvaru, IT‑komponendid).</w:t>
      </w:r>
    </w:p>
    <w:p w14:paraId="6BDA85C9" w14:textId="0B4C012D" w:rsidR="00BF1235" w:rsidRDefault="009B0611" w:rsidP="00BF1235">
      <w:pPr>
        <w:jc w:val="left"/>
      </w:pPr>
      <w:r>
        <w:rPr>
          <w:b/>
          <w:bCs/>
        </w:rPr>
        <w:t>j</w:t>
      </w:r>
      <w:r w:rsidR="00BF1235" w:rsidRPr="009B0611">
        <w:rPr>
          <w:b/>
          <w:bCs/>
        </w:rPr>
        <w:t>uhtumiuuring</w:t>
      </w:r>
      <w:r>
        <w:t xml:space="preserve"> – l</w:t>
      </w:r>
      <w:r w:rsidR="00BF1235">
        <w:t>ähenemine, kus analüüs tugineb konkreetsete juhtumite/ettevõtete andmetele (dokumendis Teenus1–Teenus3).</w:t>
      </w:r>
    </w:p>
    <w:p w14:paraId="19D01DEA" w14:textId="468C784C" w:rsidR="00BF1235" w:rsidRDefault="00BF1235" w:rsidP="00BF1235">
      <w:pPr>
        <w:jc w:val="left"/>
      </w:pPr>
      <w:r w:rsidRPr="00F06462">
        <w:rPr>
          <w:b/>
          <w:bCs/>
        </w:rPr>
        <w:t>CBA (Cost–</w:t>
      </w:r>
      <w:proofErr w:type="spellStart"/>
      <w:r w:rsidRPr="00F06462">
        <w:rPr>
          <w:b/>
          <w:bCs/>
        </w:rPr>
        <w:t>benefit</w:t>
      </w:r>
      <w:proofErr w:type="spellEnd"/>
      <w:r w:rsidRPr="00F06462">
        <w:rPr>
          <w:b/>
          <w:bCs/>
        </w:rPr>
        <w:t xml:space="preserve"> </w:t>
      </w:r>
      <w:proofErr w:type="spellStart"/>
      <w:r w:rsidRPr="00F06462">
        <w:rPr>
          <w:b/>
          <w:bCs/>
        </w:rPr>
        <w:t>analysis</w:t>
      </w:r>
      <w:proofErr w:type="spellEnd"/>
      <w:r w:rsidRPr="00F06462">
        <w:rPr>
          <w:b/>
          <w:bCs/>
        </w:rPr>
        <w:t>)</w:t>
      </w:r>
      <w:r w:rsidR="00F06462">
        <w:t xml:space="preserve"> – k</w:t>
      </w:r>
      <w:r>
        <w:t>ulude‑tulude analüüs: kulud ja tulud tuvastatakse, kvantifitseeritakse ning diskonteeritakse ajas, et võrrelda stsenaariumite majanduslikku otstarbekust.</w:t>
      </w:r>
    </w:p>
    <w:p w14:paraId="2021F70E" w14:textId="3DAA3DEB" w:rsidR="00BF1235" w:rsidRDefault="00BF1235" w:rsidP="00BF1235">
      <w:pPr>
        <w:jc w:val="left"/>
      </w:pPr>
      <w:r w:rsidRPr="00F06462">
        <w:rPr>
          <w:b/>
          <w:bCs/>
        </w:rPr>
        <w:t>CO</w:t>
      </w:r>
      <w:r w:rsidRPr="00F06462">
        <w:rPr>
          <w:rFonts w:ascii="Cambria Math" w:hAnsi="Cambria Math" w:cs="Cambria Math"/>
          <w:b/>
          <w:bCs/>
        </w:rPr>
        <w:t>₂</w:t>
      </w:r>
      <w:r w:rsidR="00F06462">
        <w:t xml:space="preserve"> - s</w:t>
      </w:r>
      <w:r>
        <w:t>üsinikdioksiid; kasutatakse transpordi ja heite kontekstis.</w:t>
      </w:r>
    </w:p>
    <w:p w14:paraId="45CE4388" w14:textId="5598B4B9" w:rsidR="00BF1235" w:rsidRDefault="00BF1235" w:rsidP="00BF1235">
      <w:pPr>
        <w:jc w:val="left"/>
      </w:pPr>
      <w:r w:rsidRPr="00F06462">
        <w:rPr>
          <w:b/>
          <w:bCs/>
        </w:rPr>
        <w:t>HORECA</w:t>
      </w:r>
      <w:r w:rsidR="00F06462" w:rsidRPr="00F06462">
        <w:rPr>
          <w:b/>
          <w:bCs/>
        </w:rPr>
        <w:t xml:space="preserve"> </w:t>
      </w:r>
      <w:r w:rsidR="00F06462">
        <w:t>– h</w:t>
      </w:r>
      <w:r>
        <w:t>otellide, restoranide ja kohvikute sektor.</w:t>
      </w:r>
    </w:p>
    <w:p w14:paraId="7AF20E6C" w14:textId="71507946" w:rsidR="00BF1235" w:rsidRDefault="00BF1235" w:rsidP="00BF1235">
      <w:pPr>
        <w:jc w:val="left"/>
      </w:pPr>
      <w:r w:rsidRPr="00F06462">
        <w:rPr>
          <w:b/>
          <w:bCs/>
        </w:rPr>
        <w:t>IT</w:t>
      </w:r>
      <w:r w:rsidR="00F06462">
        <w:t xml:space="preserve"> – i</w:t>
      </w:r>
      <w:r>
        <w:t>nfotehnoloogia; kasutatakse IT‑kulude ja IT‑lahenduste kontekstis.</w:t>
      </w:r>
    </w:p>
    <w:p w14:paraId="77D84E39" w14:textId="0001C5A4" w:rsidR="00BF1235" w:rsidRDefault="00BF1235" w:rsidP="00BF1235">
      <w:pPr>
        <w:jc w:val="left"/>
      </w:pPr>
      <w:r w:rsidRPr="00F06462">
        <w:rPr>
          <w:b/>
          <w:bCs/>
        </w:rPr>
        <w:t>KOV</w:t>
      </w:r>
      <w:r w:rsidR="00F06462">
        <w:t xml:space="preserve"> – k</w:t>
      </w:r>
      <w:r>
        <w:t>ohaliku omavalitsuse üksus.</w:t>
      </w:r>
    </w:p>
    <w:p w14:paraId="00F74603" w14:textId="40D936A0" w:rsidR="00BF1235" w:rsidRDefault="00F06462" w:rsidP="00BF1235">
      <w:pPr>
        <w:jc w:val="left"/>
      </w:pPr>
      <w:r>
        <w:rPr>
          <w:b/>
          <w:bCs/>
        </w:rPr>
        <w:t>k</w:t>
      </w:r>
      <w:r w:rsidR="00BF1235" w:rsidRPr="00572CCE">
        <w:rPr>
          <w:b/>
          <w:bCs/>
        </w:rPr>
        <w:t>ohapealne pesu</w:t>
      </w:r>
      <w:r w:rsidR="00BF1235">
        <w:t xml:space="preserve"> – </w:t>
      </w:r>
      <w:r>
        <w:t>rakendusmudel (</w:t>
      </w:r>
      <w:r w:rsidR="002166B9">
        <w:t>s</w:t>
      </w:r>
      <w:r>
        <w:t>tsenaarium II)</w:t>
      </w:r>
      <w:r w:rsidR="00BF1235">
        <w:t>, kus nõude kogumine ja pesu toimub ettevõtte enda juures.</w:t>
      </w:r>
    </w:p>
    <w:p w14:paraId="1EA85677" w14:textId="52107F76" w:rsidR="00BF1235" w:rsidRDefault="00BF1235" w:rsidP="00BF1235">
      <w:pPr>
        <w:jc w:val="left"/>
      </w:pPr>
      <w:r w:rsidRPr="00F06462">
        <w:rPr>
          <w:b/>
          <w:bCs/>
        </w:rPr>
        <w:t xml:space="preserve">NPV (Net present </w:t>
      </w:r>
      <w:proofErr w:type="spellStart"/>
      <w:r w:rsidRPr="00F06462">
        <w:rPr>
          <w:b/>
          <w:bCs/>
        </w:rPr>
        <w:t>value</w:t>
      </w:r>
      <w:proofErr w:type="spellEnd"/>
      <w:r w:rsidRPr="00F06462">
        <w:rPr>
          <w:b/>
          <w:bCs/>
        </w:rPr>
        <w:t xml:space="preserve">; </w:t>
      </w:r>
      <w:proofErr w:type="spellStart"/>
      <w:r w:rsidRPr="00F06462">
        <w:rPr>
          <w:b/>
          <w:bCs/>
        </w:rPr>
        <w:t>nüüdispuhasväärtus</w:t>
      </w:r>
      <w:proofErr w:type="spellEnd"/>
      <w:r w:rsidRPr="00F06462">
        <w:rPr>
          <w:b/>
          <w:bCs/>
        </w:rPr>
        <w:t xml:space="preserve"> / </w:t>
      </w:r>
      <w:proofErr w:type="spellStart"/>
      <w:r w:rsidRPr="00F06462">
        <w:rPr>
          <w:b/>
          <w:bCs/>
        </w:rPr>
        <w:t>netonüüdisväärtus</w:t>
      </w:r>
      <w:proofErr w:type="spellEnd"/>
      <w:r w:rsidRPr="00F06462">
        <w:rPr>
          <w:b/>
          <w:bCs/>
        </w:rPr>
        <w:t>)</w:t>
      </w:r>
      <w:r w:rsidR="00F06462">
        <w:t xml:space="preserve"> – d</w:t>
      </w:r>
      <w:r>
        <w:t>iskonteeritud rahavoogude summa; positiivne NPV viitab majanduslikult tasuvale stsenaariumile.</w:t>
      </w:r>
    </w:p>
    <w:p w14:paraId="00C5832E" w14:textId="6923B046" w:rsidR="00BF1235" w:rsidRDefault="00BF1235" w:rsidP="00BF1235">
      <w:pPr>
        <w:jc w:val="left"/>
      </w:pPr>
      <w:r w:rsidRPr="00F06462">
        <w:rPr>
          <w:b/>
          <w:bCs/>
        </w:rPr>
        <w:t>OPEX (</w:t>
      </w:r>
      <w:proofErr w:type="spellStart"/>
      <w:r w:rsidRPr="00F06462">
        <w:rPr>
          <w:b/>
          <w:bCs/>
        </w:rPr>
        <w:t>Operating</w:t>
      </w:r>
      <w:proofErr w:type="spellEnd"/>
      <w:r w:rsidRPr="00F06462">
        <w:rPr>
          <w:b/>
          <w:bCs/>
        </w:rPr>
        <w:t xml:space="preserve"> </w:t>
      </w:r>
      <w:proofErr w:type="spellStart"/>
      <w:r w:rsidRPr="00F06462">
        <w:rPr>
          <w:b/>
          <w:bCs/>
        </w:rPr>
        <w:t>expenditure</w:t>
      </w:r>
      <w:proofErr w:type="spellEnd"/>
      <w:r w:rsidRPr="00F06462">
        <w:rPr>
          <w:b/>
          <w:bCs/>
        </w:rPr>
        <w:t>)</w:t>
      </w:r>
      <w:r w:rsidR="00F06462">
        <w:t xml:space="preserve"> – j</w:t>
      </w:r>
      <w:r>
        <w:t>ooksvad tegevuskulud (nt elekter, vesi, tarvikud, tööjõud, logistika, asendus, haldus), mis tekivad süsteemi opereerimisel.</w:t>
      </w:r>
    </w:p>
    <w:p w14:paraId="04256F43" w14:textId="28795075" w:rsidR="00BF1235" w:rsidRDefault="00BF1235" w:rsidP="00BF1235">
      <w:pPr>
        <w:jc w:val="left"/>
      </w:pPr>
      <w:r w:rsidRPr="00F06462">
        <w:rPr>
          <w:b/>
          <w:bCs/>
        </w:rPr>
        <w:t>PPWR (</w:t>
      </w:r>
      <w:proofErr w:type="spellStart"/>
      <w:r w:rsidRPr="00F06462">
        <w:rPr>
          <w:b/>
          <w:bCs/>
        </w:rPr>
        <w:t>Packaging</w:t>
      </w:r>
      <w:proofErr w:type="spellEnd"/>
      <w:r w:rsidRPr="00F06462">
        <w:rPr>
          <w:b/>
          <w:bCs/>
        </w:rPr>
        <w:t xml:space="preserve"> and </w:t>
      </w:r>
      <w:proofErr w:type="spellStart"/>
      <w:r w:rsidRPr="00F06462">
        <w:rPr>
          <w:b/>
          <w:bCs/>
        </w:rPr>
        <w:t>Packaging</w:t>
      </w:r>
      <w:proofErr w:type="spellEnd"/>
      <w:r w:rsidRPr="00F06462">
        <w:rPr>
          <w:b/>
          <w:bCs/>
        </w:rPr>
        <w:t xml:space="preserve"> </w:t>
      </w:r>
      <w:proofErr w:type="spellStart"/>
      <w:r w:rsidRPr="00F06462">
        <w:rPr>
          <w:b/>
          <w:bCs/>
        </w:rPr>
        <w:t>Waste</w:t>
      </w:r>
      <w:proofErr w:type="spellEnd"/>
      <w:r w:rsidRPr="00F06462">
        <w:rPr>
          <w:b/>
          <w:bCs/>
        </w:rPr>
        <w:t xml:space="preserve"> </w:t>
      </w:r>
      <w:proofErr w:type="spellStart"/>
      <w:r w:rsidRPr="00F06462">
        <w:rPr>
          <w:b/>
          <w:bCs/>
        </w:rPr>
        <w:t>Regulation</w:t>
      </w:r>
      <w:proofErr w:type="spellEnd"/>
      <w:r w:rsidRPr="00F06462">
        <w:rPr>
          <w:b/>
          <w:bCs/>
        </w:rPr>
        <w:t>)</w:t>
      </w:r>
      <w:r w:rsidR="00F06462" w:rsidRPr="00F06462">
        <w:rPr>
          <w:b/>
          <w:bCs/>
        </w:rPr>
        <w:t xml:space="preserve"> </w:t>
      </w:r>
      <w:r w:rsidR="00F06462">
        <w:t xml:space="preserve">– </w:t>
      </w:r>
      <w:r>
        <w:t>Euroopa Liidu pakendi ja pakendijäätmete määrus; kasutatakse regulatiivse raamistiku ja nõuete kontekstis.</w:t>
      </w:r>
    </w:p>
    <w:p w14:paraId="057F7E70" w14:textId="71BA15AB" w:rsidR="00BF1235" w:rsidRDefault="009B0611" w:rsidP="00BF1235">
      <w:pPr>
        <w:jc w:val="left"/>
      </w:pPr>
      <w:r>
        <w:rPr>
          <w:b/>
          <w:bCs/>
        </w:rPr>
        <w:t>k</w:t>
      </w:r>
      <w:r w:rsidR="00BF1235" w:rsidRPr="009B0611">
        <w:rPr>
          <w:b/>
          <w:bCs/>
        </w:rPr>
        <w:t>orduskasutuse sihttasemed</w:t>
      </w:r>
      <w:r>
        <w:t xml:space="preserve"> – </w:t>
      </w:r>
      <w:r w:rsidR="00BF1235">
        <w:t>PPWR “</w:t>
      </w:r>
      <w:proofErr w:type="spellStart"/>
      <w:r w:rsidR="00BF1235">
        <w:t>reuse</w:t>
      </w:r>
      <w:proofErr w:type="spellEnd"/>
      <w:r w:rsidR="00BF1235">
        <w:t xml:space="preserve"> </w:t>
      </w:r>
      <w:proofErr w:type="spellStart"/>
      <w:r w:rsidR="00BF1235">
        <w:t>targets</w:t>
      </w:r>
      <w:proofErr w:type="spellEnd"/>
      <w:r w:rsidR="00BF1235">
        <w:t>”; viidatud mõjuhinnangute kontekstis.</w:t>
      </w:r>
    </w:p>
    <w:p w14:paraId="470AD59C" w14:textId="0573DFB1" w:rsidR="00BF1235" w:rsidRDefault="009B0611" w:rsidP="00BF1235">
      <w:pPr>
        <w:jc w:val="left"/>
      </w:pPr>
      <w:proofErr w:type="spellStart"/>
      <w:r w:rsidRPr="009B0611">
        <w:rPr>
          <w:b/>
          <w:bCs/>
        </w:rPr>
        <w:t>p</w:t>
      </w:r>
      <w:r w:rsidR="00BF1235" w:rsidRPr="009B0611">
        <w:rPr>
          <w:b/>
          <w:bCs/>
        </w:rPr>
        <w:t>öördlogistika</w:t>
      </w:r>
      <w:proofErr w:type="spellEnd"/>
      <w:r>
        <w:t xml:space="preserve"> – </w:t>
      </w:r>
      <w:r w:rsidR="00BF1235">
        <w:t>kasutatud nõude/pakendite kogumine, ladustamine, vedu pesuüksusesse ja puhastatud nõude/pakendite tagasitoomine.</w:t>
      </w:r>
    </w:p>
    <w:p w14:paraId="07D1C75F" w14:textId="5382E72C" w:rsidR="00BF1235" w:rsidRDefault="00BF1235" w:rsidP="00BF1235">
      <w:pPr>
        <w:jc w:val="left"/>
      </w:pPr>
      <w:r w:rsidRPr="00F06462">
        <w:rPr>
          <w:b/>
          <w:bCs/>
        </w:rPr>
        <w:t>SUP (</w:t>
      </w:r>
      <w:proofErr w:type="spellStart"/>
      <w:r w:rsidRPr="00F06462">
        <w:rPr>
          <w:b/>
          <w:bCs/>
        </w:rPr>
        <w:t>Single-Use</w:t>
      </w:r>
      <w:proofErr w:type="spellEnd"/>
      <w:r w:rsidRPr="00F06462">
        <w:rPr>
          <w:b/>
          <w:bCs/>
        </w:rPr>
        <w:t xml:space="preserve"> </w:t>
      </w:r>
      <w:proofErr w:type="spellStart"/>
      <w:r w:rsidRPr="00F06462">
        <w:rPr>
          <w:b/>
          <w:bCs/>
        </w:rPr>
        <w:t>Plastics</w:t>
      </w:r>
      <w:proofErr w:type="spellEnd"/>
      <w:r w:rsidRPr="00F06462">
        <w:rPr>
          <w:b/>
          <w:bCs/>
        </w:rPr>
        <w:t>) direktiiv</w:t>
      </w:r>
      <w:r w:rsidR="00F06462">
        <w:t xml:space="preserve"> – ü</w:t>
      </w:r>
      <w:r>
        <w:t>hekordselt kasutatavate plasttoodete direktiiv; kasutatakse vähendamise eesmärkide ja rakenduskogemuse kontekstis.</w:t>
      </w:r>
    </w:p>
    <w:p w14:paraId="72BC2F0F" w14:textId="4AF7AD92" w:rsidR="00BF1235" w:rsidRDefault="00BF1235" w:rsidP="00BF1235">
      <w:pPr>
        <w:jc w:val="left"/>
      </w:pPr>
      <w:r w:rsidRPr="00F06462">
        <w:rPr>
          <w:b/>
          <w:bCs/>
        </w:rPr>
        <w:t>suletud ringlus</w:t>
      </w:r>
      <w:r w:rsidR="00F06462">
        <w:t xml:space="preserve"> – r</w:t>
      </w:r>
      <w:r>
        <w:t>inglusloogika, kus tagastus toimub samas asukohas ning ringlus on lühike (vähem kogumise‑veo‑pesu etappe kui laiemas ahelas).</w:t>
      </w:r>
    </w:p>
    <w:p w14:paraId="4666FA78" w14:textId="42A8CC30" w:rsidR="00BF1235" w:rsidRDefault="00BF1235" w:rsidP="00BF1235">
      <w:pPr>
        <w:jc w:val="left"/>
      </w:pPr>
      <w:r w:rsidRPr="00F06462">
        <w:rPr>
          <w:b/>
          <w:bCs/>
        </w:rPr>
        <w:t>suletud süsteem</w:t>
      </w:r>
      <w:r w:rsidR="00F06462">
        <w:t xml:space="preserve"> – t</w:t>
      </w:r>
      <w:r>
        <w:t>arbimiskeskkond, kus toidu ja joogi tarbimine ning kasutatud nõude/pakendite tagastus toimub samas piiratud alal.</w:t>
      </w:r>
    </w:p>
    <w:p w14:paraId="5D387509" w14:textId="4AB46D3E" w:rsidR="00BF1235" w:rsidRDefault="00BF1235" w:rsidP="00BF1235">
      <w:pPr>
        <w:jc w:val="left"/>
      </w:pPr>
      <w:r w:rsidRPr="00F06462">
        <w:rPr>
          <w:b/>
          <w:bCs/>
        </w:rPr>
        <w:t>Teenus1–Teenus3</w:t>
      </w:r>
      <w:r w:rsidR="00F06462">
        <w:t xml:space="preserve"> – </w:t>
      </w:r>
      <w:proofErr w:type="spellStart"/>
      <w:r w:rsidR="00F06462">
        <w:t>a</w:t>
      </w:r>
      <w:r>
        <w:t>nonümiseeritud</w:t>
      </w:r>
      <w:proofErr w:type="spellEnd"/>
      <w:r>
        <w:t xml:space="preserve"> juhtumiuuringud (kolm ettevõtet/juhtumit), mille andmetele analüüs tugineb.</w:t>
      </w:r>
    </w:p>
    <w:p w14:paraId="39A23841" w14:textId="3F57800D" w:rsidR="00BF1235" w:rsidRDefault="00BF1235" w:rsidP="00BF1235">
      <w:pPr>
        <w:jc w:val="left"/>
      </w:pPr>
      <w:r w:rsidRPr="00F06462">
        <w:rPr>
          <w:b/>
          <w:bCs/>
        </w:rPr>
        <w:t>THI (Tarbijahinnaindeks)</w:t>
      </w:r>
      <w:r w:rsidR="00F06462">
        <w:t xml:space="preserve"> – i</w:t>
      </w:r>
      <w:r>
        <w:t>ndeks, mida kasutatakse kulunäitajate indekseerimiseks prognoosiperioodil.</w:t>
      </w:r>
    </w:p>
    <w:p w14:paraId="1553EAC5" w14:textId="18230CA7" w:rsidR="00BF1235" w:rsidRDefault="00BF1235" w:rsidP="00BF1235">
      <w:pPr>
        <w:jc w:val="left"/>
      </w:pPr>
      <w:r w:rsidRPr="00F06462">
        <w:rPr>
          <w:b/>
          <w:bCs/>
        </w:rPr>
        <w:lastRenderedPageBreak/>
        <w:t>TKO</w:t>
      </w:r>
      <w:r w:rsidR="00F06462">
        <w:t xml:space="preserve"> – t</w:t>
      </w:r>
      <w:r>
        <w:t>ootjavastutusorganisatsioon; kasutatakse tootjavastutuse teenustasude ja aruandluse kontekstis.</w:t>
      </w:r>
    </w:p>
    <w:p w14:paraId="05A57080" w14:textId="0025A438" w:rsidR="00BF1235" w:rsidRDefault="00BF1235" w:rsidP="00BF1235">
      <w:pPr>
        <w:jc w:val="left"/>
      </w:pPr>
      <w:r w:rsidRPr="00F06462">
        <w:rPr>
          <w:b/>
          <w:bCs/>
        </w:rPr>
        <w:t>tsentraalne pesu</w:t>
      </w:r>
      <w:r w:rsidR="00F06462">
        <w:t xml:space="preserve"> – rakendusmudel (</w:t>
      </w:r>
      <w:r w:rsidR="002166B9">
        <w:t>s</w:t>
      </w:r>
      <w:r w:rsidR="00F06462">
        <w:t>tsenaarium III)</w:t>
      </w:r>
      <w:r>
        <w:t xml:space="preserve">, kus pesu toimub keskse pesulahenduse kaudu ning lisandub </w:t>
      </w:r>
      <w:proofErr w:type="spellStart"/>
      <w:r>
        <w:t>pöördlogistika</w:t>
      </w:r>
      <w:proofErr w:type="spellEnd"/>
      <w:r>
        <w:t xml:space="preserve"> komponent.</w:t>
      </w:r>
    </w:p>
    <w:p w14:paraId="54A22B67" w14:textId="0245F8F0" w:rsidR="00BF1235" w:rsidRDefault="00F06462" w:rsidP="00BF1235">
      <w:pPr>
        <w:jc w:val="left"/>
      </w:pPr>
      <w:r w:rsidRPr="009B0611">
        <w:rPr>
          <w:b/>
          <w:bCs/>
        </w:rPr>
        <w:t>k</w:t>
      </w:r>
      <w:r w:rsidR="00BF1235" w:rsidRPr="009B0611">
        <w:rPr>
          <w:b/>
          <w:bCs/>
        </w:rPr>
        <w:t>ahe baasjuhtumi võrdlus</w:t>
      </w:r>
      <w:r w:rsidR="009B0611">
        <w:t xml:space="preserve"> –</w:t>
      </w:r>
      <w:r w:rsidR="00BF1235">
        <w:t xml:space="preserve"> dokumendis pakendi eluea kahe eeldusvariandi paralleelne võrdlus (n</w:t>
      </w:r>
      <w:r w:rsidR="002D3362">
        <w:t xml:space="preserve"> </w:t>
      </w:r>
      <w:r w:rsidR="00BF1235">
        <w:t>=</w:t>
      </w:r>
      <w:r w:rsidR="002D3362">
        <w:t xml:space="preserve"> </w:t>
      </w:r>
      <w:r w:rsidR="00BF1235">
        <w:t>50 ja n</w:t>
      </w:r>
      <w:r w:rsidR="002D3362">
        <w:t xml:space="preserve"> </w:t>
      </w:r>
      <w:r w:rsidR="00BF1235">
        <w:t>=</w:t>
      </w:r>
      <w:r w:rsidR="002D3362">
        <w:t xml:space="preserve"> </w:t>
      </w:r>
      <w:r w:rsidR="00BF1235">
        <w:t>75) ilma eraldi uue tundlikkusanalüüsi koostamiseta.</w:t>
      </w:r>
    </w:p>
    <w:p w14:paraId="74BDDFA9" w14:textId="53F60A96" w:rsidR="00572CCE" w:rsidRPr="00F06462" w:rsidRDefault="00934F0F" w:rsidP="00BF1235">
      <w:pPr>
        <w:jc w:val="left"/>
      </w:pPr>
      <w:r>
        <w:rPr>
          <w:b/>
          <w:bCs/>
        </w:rPr>
        <w:t>t</w:t>
      </w:r>
      <w:r w:rsidR="00BF1235" w:rsidRPr="00F06462">
        <w:rPr>
          <w:b/>
          <w:bCs/>
        </w:rPr>
        <w:t>äisteenus</w:t>
      </w:r>
      <w:r w:rsidR="00F06462">
        <w:t xml:space="preserve"> – r</w:t>
      </w:r>
      <w:r w:rsidR="00BF1235">
        <w:t>akendusmudel (</w:t>
      </w:r>
      <w:r w:rsidR="002166B9">
        <w:t>s</w:t>
      </w:r>
      <w:r w:rsidR="00BF1235">
        <w:t>tsenaarium IV), kus kolmas osapool pakub teenuspaketina pakendeid, kogumist, pesu ja logistikat; kulu kajastub teenustasuna.</w:t>
      </w:r>
      <w:r w:rsidR="00572CCE">
        <w:br w:type="page"/>
      </w:r>
    </w:p>
    <w:p w14:paraId="2D2C6FEB" w14:textId="44C5D65F" w:rsidR="00334024" w:rsidRPr="00334024" w:rsidRDefault="00334024" w:rsidP="00663E9A">
      <w:pPr>
        <w:pStyle w:val="Pealkiri1"/>
      </w:pPr>
      <w:bookmarkStart w:id="2" w:name="_Toc228177580"/>
      <w:r w:rsidRPr="00741C26">
        <w:lastRenderedPageBreak/>
        <w:t>Sissejuhatus</w:t>
      </w:r>
      <w:bookmarkEnd w:id="1"/>
      <w:bookmarkEnd w:id="2"/>
    </w:p>
    <w:p w14:paraId="3466983F" w14:textId="66CF4507" w:rsidR="00624F93" w:rsidRDefault="00ED353D" w:rsidP="00624F93">
      <w:r w:rsidRPr="00ED353D">
        <w:t>Analüüs käsitleb kolme eraldiseisvat, kuid omavahel seotud regulatiivset meedet seoses korduskasutuspakendite ja korduskasutusnõude kasutuselevõtuga Eestis. Muudatuste eesmärk on toetada Euroopa Liidu pakendi ja pakendijäätmete määruse (PPWR) rakendamist, täita SUP direktiivi eesmärke ning viia ellu Eesti koalitsioonileppe sihte ühekordsete pakendite kasutuse vähendamisel ja korduskasutuse edendamisel</w:t>
      </w:r>
      <w:r w:rsidR="00624F93">
        <w:t>.</w:t>
      </w:r>
    </w:p>
    <w:p w14:paraId="5EEB79E2" w14:textId="5CADD67A" w:rsidR="00624F93" w:rsidRDefault="00624F93" w:rsidP="00624F93">
      <w:r>
        <w:t xml:space="preserve">Muudatuse vajadus tuleneb nii koalitsioonileppest kui ka kehtiva regulatsiooni </w:t>
      </w:r>
      <w:proofErr w:type="spellStart"/>
      <w:r>
        <w:t>järelhindamise</w:t>
      </w:r>
      <w:proofErr w:type="spellEnd"/>
      <w:r>
        <w:t xml:space="preserve"> tulemustest. </w:t>
      </w:r>
      <w:r w:rsidR="00133418" w:rsidRPr="00133418">
        <w:t>Analüüs keskendub korduskasutusnõude rakendamisele suletud süsteemides – näiteks kinod, ööklubid, spaad, teatrid, kontserdipaigad, spordihallid ja kiirtoidukohad</w:t>
      </w:r>
      <w:r>
        <w:t>.</w:t>
      </w:r>
    </w:p>
    <w:p w14:paraId="0AAFBA82" w14:textId="77777777" w:rsidR="00624F93" w:rsidRDefault="00624F93" w:rsidP="00624F93">
      <w:r>
        <w:t>Eestis on juba kehtestatud nõue, mille kohaselt ei ole lubatud avalikel üritustel kasutada ühekordseid pakendeid, nõusid ja söögiriistu. Samas ei laiene avaliku ürituse mõiste eeltoodud asutustele, mistõttu on regulatsioon killustunud ning ei kata olulist osa kohapealse tarbimise olukordadest. Arvestades, et suletud süsteemiga asutused erinevad nii suuruse kui ka toidu ja joogi pakkumise profiili poolest, on vajalik hinnata võimalike meetmete mõju erinevates segmentides.</w:t>
      </w:r>
    </w:p>
    <w:p w14:paraId="1292B3D1" w14:textId="77777777" w:rsidR="00624F93" w:rsidRDefault="00624F93" w:rsidP="00624F93">
      <w:r>
        <w:t>Täiendav vajadus muudatusteks tuleneb ka SUP direktiivi rakendamise kogemusest. SUP direktiiv ei sätesta konkreetset vähendamise sihttaset, kuid Eesti on seadnud „Riigi jäätmekava 2023–2028“ alusel eesmärgiks vähendada ühekordselt kasutatavate plastist toidupakendite ja joogitopside tarbimist 2026. aasta lõpuks 25% võrreldes 2022. aastaga.</w:t>
      </w:r>
    </w:p>
    <w:p w14:paraId="2109214F" w14:textId="77777777" w:rsidR="00624F93" w:rsidRDefault="00624F93" w:rsidP="00624F93">
      <w:r>
        <w:t xml:space="preserve">Pakendiseaduse </w:t>
      </w:r>
      <w:proofErr w:type="spellStart"/>
      <w:r>
        <w:t>järelhindamine</w:t>
      </w:r>
      <w:proofErr w:type="spellEnd"/>
      <w:r>
        <w:t xml:space="preserve"> pakendijäätmete tekke vähendamise meetmete osas viidi läbi 2024. aastal. </w:t>
      </w:r>
      <w:proofErr w:type="spellStart"/>
      <w:r>
        <w:t>Järelhindamise</w:t>
      </w:r>
      <w:proofErr w:type="spellEnd"/>
      <w:r>
        <w:t xml:space="preserve"> eesmärk oli hinnata, kas kehtestatud meetmed on olnud piisavad selle eesmärgi saavutamiseks. </w:t>
      </w:r>
      <w:proofErr w:type="spellStart"/>
      <w:r>
        <w:t>Järelhindamine</w:t>
      </w:r>
      <w:proofErr w:type="spellEnd"/>
      <w:r>
        <w:t xml:space="preserve"> näitas, et kehtiv säte, mille kohaselt pakendiettevõtjad peavad rakendama meetmeid ühekordselt kasutatavate plasttoodete tarbimise vähendamiseks, ei ole praktikas andnud soovitud tulemusi. Ettevõtjate tegevuskavade kvaliteet ja meetmete ambitsioonikus on olnud ebaühtlane ning rakendatud lahenduste mõju piiratud.</w:t>
      </w:r>
    </w:p>
    <w:p w14:paraId="764F9901" w14:textId="77777777" w:rsidR="00624F93" w:rsidRDefault="00624F93" w:rsidP="00624F93">
      <w:r>
        <w:t>Olemasolevate eesmärkide, meetmete ja nende senise efektiivsuse põhjal on risk, et kehtiva lähenemise jätkumisel ei saavutata 2026. aasta lõpuks seatud 25% vähendamise eesmärki. Samuti on nii pakendiettevõtjad, korduskasutuse valdkonna ettevõtted kui ka avalike ürituste korraldajad toonud välja vajaduse ühtsemate ja selgemate reeglite järele, mis tagaksid kõigi turuosaliste võrdse panuse eesmärgi saavutamisse.</w:t>
      </w:r>
    </w:p>
    <w:p w14:paraId="66ADBC3D" w14:textId="495180D7" w:rsidR="00624F93" w:rsidRDefault="00624F93" w:rsidP="00624F93">
      <w:r>
        <w:t>Seetõttu on põhjendatud kaaluda täiendavaid ja selgemaid regulatiivseid meetmeid, sh ühekordsete pakendite kasutamise piiranguid kohapealsel tarbimisel suletud süsteemides.</w:t>
      </w:r>
    </w:p>
    <w:p w14:paraId="321B5A2F" w14:textId="77777777" w:rsidR="00624F93" w:rsidRDefault="00624F93" w:rsidP="00624F93">
      <w:proofErr w:type="spellStart"/>
      <w:r>
        <w:t>Järelhindamise</w:t>
      </w:r>
      <w:proofErr w:type="spellEnd"/>
      <w:r>
        <w:t xml:space="preserve"> tulemustest lähtuvalt plaanib Kliimaministeerium esitada Vabariigi Valitsusele pakendiseaduse muudatusettepanekud tarbimise vähendamise meetmete tõhustamiseks.</w:t>
      </w:r>
    </w:p>
    <w:p w14:paraId="5E5F97BC" w14:textId="77777777" w:rsidR="00624F93" w:rsidRPr="004E4B93" w:rsidRDefault="00624F93" w:rsidP="00624F93">
      <w:r w:rsidRPr="004E4B93">
        <w:t xml:space="preserve">Täiendava alusena muudatuste kaalumisel tuleb arvestada ka </w:t>
      </w:r>
      <w:proofErr w:type="spellStart"/>
      <w:r>
        <w:t>PPWRi</w:t>
      </w:r>
      <w:proofErr w:type="spellEnd"/>
      <w:r w:rsidRPr="004E4B93">
        <w:t xml:space="preserve"> otsekohalduv</w:t>
      </w:r>
      <w:r>
        <w:t>aid</w:t>
      </w:r>
      <w:r w:rsidRPr="004E4B93">
        <w:t xml:space="preserve"> nõu</w:t>
      </w:r>
      <w:r>
        <w:t>deid</w:t>
      </w:r>
      <w:r w:rsidRPr="004E4B93">
        <w:t xml:space="preserve">. </w:t>
      </w:r>
      <w:proofErr w:type="spellStart"/>
      <w:r w:rsidRPr="004E4B93">
        <w:t>PPWR</w:t>
      </w:r>
      <w:r>
        <w:t>i</w:t>
      </w:r>
      <w:proofErr w:type="spellEnd"/>
      <w:r w:rsidRPr="004E4B93">
        <w:t xml:space="preserve"> kohaselt peavad müügikohad alates 12. veebruarist 2028 pakkuma kaasamüügi korral ühekordse pakendi kõrval ka korduskasutatavat alternatiivi. See tähendab, et müügikohad peavad lähiaastatel sõltumata riigisisestest meetmetest looma valmisoleku korduskasutuslahenduste pakkumiseks ning tegema vastavad korralduslikud ja investeeringutega seotud muudatused.</w:t>
      </w:r>
    </w:p>
    <w:p w14:paraId="144CFF43" w14:textId="77777777" w:rsidR="00624F93" w:rsidRDefault="00624F93" w:rsidP="00624F93">
      <w:r w:rsidRPr="004E4B93">
        <w:t>Sellest tulenevalt on asjakohane hinnata, kas ja mil määral võiks korduskasutuslahenduste kasutust laiendada ka kohapealsele tarbimisele, kus nende rakendamine on logistiliselt lihtsam ning süsteemide toimimine paremini kontrollitav. Käesolev analüüs loob aluse selle hindamiseks, arvestades nii ettevõtjatele kaasnevat kohanemisvajadust kui ka võimalikku mõju tarbijatele.</w:t>
      </w:r>
    </w:p>
    <w:p w14:paraId="333B0790" w14:textId="113FD99F" w:rsidR="008C7D15" w:rsidRDefault="009B0611" w:rsidP="008C7D15">
      <w:r w:rsidRPr="009B0611">
        <w:rPr>
          <w:b/>
          <w:bCs/>
        </w:rPr>
        <w:lastRenderedPageBreak/>
        <w:t>Käesoleva analüüsi eesmärk on hinnata suletud süsteemides korduskasutusnõude kasutuselevõtu majanduslikku mõju ettevõtjale ja võimalikku mõju tarbijahinnale ning käsitleda sotsiaalseid ja keskkonnamõjusid toetava kontekstina.</w:t>
      </w:r>
    </w:p>
    <w:p w14:paraId="7A9DEFDB" w14:textId="77777777" w:rsidR="00EB11F8" w:rsidRDefault="00334024" w:rsidP="00EB11F8">
      <w:pPr>
        <w:spacing w:after="0"/>
        <w:jc w:val="left"/>
        <w:rPr>
          <w:szCs w:val="21"/>
        </w:rPr>
      </w:pPr>
      <w:r w:rsidRPr="00EB11F8">
        <w:rPr>
          <w:b/>
          <w:bCs/>
          <w:szCs w:val="21"/>
        </w:rPr>
        <w:t>Analüüsi lähteülesanded on järgmised:</w:t>
      </w:r>
    </w:p>
    <w:p w14:paraId="1807AEE1" w14:textId="77777777" w:rsidR="00366D59" w:rsidRPr="00A656C0" w:rsidRDefault="00334024" w:rsidP="00A656C0">
      <w:pPr>
        <w:pStyle w:val="Loendilik"/>
        <w:numPr>
          <w:ilvl w:val="0"/>
          <w:numId w:val="21"/>
        </w:numPr>
        <w:jc w:val="left"/>
        <w:rPr>
          <w:szCs w:val="21"/>
        </w:rPr>
      </w:pPr>
      <w:r w:rsidRPr="00EA3466">
        <w:rPr>
          <w:szCs w:val="21"/>
        </w:rPr>
        <w:t xml:space="preserve">Analüüsida </w:t>
      </w:r>
      <w:r w:rsidR="008C7D15">
        <w:t>suletud süsteemides korduskasutusnõude kasutuselevõttu</w:t>
      </w:r>
      <w:r w:rsidRPr="00EA3466">
        <w:rPr>
          <w:szCs w:val="21"/>
        </w:rPr>
        <w:t xml:space="preserve"> kolme erineva </w:t>
      </w:r>
      <w:r w:rsidR="008C7D15" w:rsidRPr="00EA3466">
        <w:rPr>
          <w:szCs w:val="21"/>
        </w:rPr>
        <w:t>stsenaariumi võrdlemisega</w:t>
      </w:r>
      <w:r w:rsidR="00A656C0">
        <w:rPr>
          <w:szCs w:val="21"/>
        </w:rPr>
        <w:t>.</w:t>
      </w:r>
    </w:p>
    <w:p w14:paraId="79CCAD33" w14:textId="121C406F" w:rsidR="00334024" w:rsidRDefault="00D822F2" w:rsidP="00A656C0">
      <w:pPr>
        <w:pStyle w:val="Loendilik"/>
        <w:numPr>
          <w:ilvl w:val="0"/>
          <w:numId w:val="21"/>
        </w:numPr>
        <w:spacing w:before="120"/>
        <w:jc w:val="left"/>
        <w:rPr>
          <w:szCs w:val="21"/>
        </w:rPr>
      </w:pPr>
      <w:r w:rsidRPr="00D822F2">
        <w:rPr>
          <w:szCs w:val="21"/>
        </w:rPr>
        <w:t>Viia läbi stsenaariumite sisene kulude-tulude analüüs (CBA)</w:t>
      </w:r>
      <w:r>
        <w:rPr>
          <w:szCs w:val="21"/>
        </w:rPr>
        <w:t xml:space="preserve"> </w:t>
      </w:r>
      <w:r w:rsidR="00334024" w:rsidRPr="0008744C">
        <w:rPr>
          <w:szCs w:val="21"/>
        </w:rPr>
        <w:t xml:space="preserve">sihtgruppi kuuluvate ettevõtjate </w:t>
      </w:r>
      <w:r w:rsidR="0008744C" w:rsidRPr="0008744C">
        <w:rPr>
          <w:szCs w:val="21"/>
        </w:rPr>
        <w:t>vastava jookide serveerimise ja toitlustegevuse vaates.</w:t>
      </w:r>
    </w:p>
    <w:p w14:paraId="3C1D77F6" w14:textId="25524EF4" w:rsidR="0008744C" w:rsidRDefault="0008744C" w:rsidP="00A656C0">
      <w:pPr>
        <w:pStyle w:val="Loendilik"/>
        <w:numPr>
          <w:ilvl w:val="0"/>
          <w:numId w:val="21"/>
        </w:numPr>
        <w:spacing w:before="120"/>
        <w:jc w:val="left"/>
        <w:rPr>
          <w:szCs w:val="21"/>
        </w:rPr>
      </w:pPr>
      <w:r>
        <w:rPr>
          <w:szCs w:val="21"/>
        </w:rPr>
        <w:t>Viia läbi stsenaariumite kulude-tulude analüüside võrdlemine, sh tuues kulude muutused võrreldes BAU</w:t>
      </w:r>
      <w:r w:rsidR="0056062F">
        <w:rPr>
          <w:szCs w:val="21"/>
        </w:rPr>
        <w:t>-</w:t>
      </w:r>
      <w:r>
        <w:rPr>
          <w:szCs w:val="21"/>
        </w:rPr>
        <w:t>stsenaariumiga.</w:t>
      </w:r>
    </w:p>
    <w:p w14:paraId="518FEAB6" w14:textId="4A899258" w:rsidR="0008744C" w:rsidRPr="0008744C" w:rsidRDefault="00D822F2" w:rsidP="00A656C0">
      <w:pPr>
        <w:pStyle w:val="Loendilik"/>
        <w:numPr>
          <w:ilvl w:val="0"/>
          <w:numId w:val="21"/>
        </w:numPr>
        <w:spacing w:before="120"/>
        <w:jc w:val="left"/>
        <w:rPr>
          <w:szCs w:val="21"/>
        </w:rPr>
      </w:pPr>
      <w:r w:rsidRPr="00D822F2">
        <w:rPr>
          <w:szCs w:val="21"/>
        </w:rPr>
        <w:t>CBA läbiviimisel rakendada asjakohast sihtrühmade grupeerimist</w:t>
      </w:r>
      <w:r>
        <w:rPr>
          <w:szCs w:val="21"/>
        </w:rPr>
        <w:t xml:space="preserve"> </w:t>
      </w:r>
      <w:r w:rsidR="0008744C">
        <w:rPr>
          <w:szCs w:val="21"/>
        </w:rPr>
        <w:t>ja kulude-tulude defineerimist, mis võimaldab ee</w:t>
      </w:r>
      <w:r w:rsidR="00ED353D">
        <w:rPr>
          <w:szCs w:val="21"/>
        </w:rPr>
        <w:t>s</w:t>
      </w:r>
      <w:r w:rsidR="0008744C">
        <w:rPr>
          <w:szCs w:val="21"/>
        </w:rPr>
        <w:t xml:space="preserve">pool märgitud ülesannete täitmist. </w:t>
      </w:r>
    </w:p>
    <w:p w14:paraId="192C39DC" w14:textId="79FB2487" w:rsidR="00334024" w:rsidRPr="003D47D9" w:rsidRDefault="00D822F2" w:rsidP="00334024">
      <w:pPr>
        <w:rPr>
          <w:szCs w:val="21"/>
        </w:rPr>
      </w:pPr>
      <w:r w:rsidRPr="00D822F2">
        <w:rPr>
          <w:szCs w:val="21"/>
        </w:rPr>
        <w:t>Analüüs peab näitama, mil määral muutuvad teenust pakkuva ettevõtja kulud suletud süsteemides korduskasutusnõude kasutuselevõtu tulemusel.</w:t>
      </w:r>
      <w:r>
        <w:rPr>
          <w:szCs w:val="21"/>
        </w:rPr>
        <w:t xml:space="preserve"> </w:t>
      </w:r>
      <w:r w:rsidRPr="00D822F2">
        <w:t>Uuringu tulemustes keskendutakse kvantitatiivsetele andmetele tugineva sobivaima stsenaariumi esiletoomisele</w:t>
      </w:r>
      <w:r w:rsidR="0025167C">
        <w:t>.</w:t>
      </w:r>
      <w:r w:rsidR="002E1682">
        <w:t xml:space="preserve"> </w:t>
      </w:r>
    </w:p>
    <w:p w14:paraId="50B47C6C" w14:textId="6C9711F2" w:rsidR="00334024" w:rsidRPr="003D47D9" w:rsidRDefault="00334024" w:rsidP="00334024">
      <w:pPr>
        <w:rPr>
          <w:szCs w:val="21"/>
        </w:rPr>
      </w:pPr>
      <w:r w:rsidRPr="003D47D9">
        <w:rPr>
          <w:szCs w:val="21"/>
        </w:rPr>
        <w:t xml:space="preserve">Analüüsis vaadeldav sihtgrupp on </w:t>
      </w:r>
      <w:r w:rsidR="00EB11F8">
        <w:rPr>
          <w:szCs w:val="21"/>
        </w:rPr>
        <w:t>eelkõige meelelahutusteenust ja kiirtoitlustust pakkuvad</w:t>
      </w:r>
      <w:r w:rsidRPr="003D47D9">
        <w:rPr>
          <w:szCs w:val="21"/>
        </w:rPr>
        <w:t xml:space="preserve"> ettevõtjad.</w:t>
      </w:r>
    </w:p>
    <w:p w14:paraId="37160A5C" w14:textId="77777777" w:rsidR="00334024" w:rsidRPr="003D47D9" w:rsidRDefault="00334024" w:rsidP="00334024">
      <w:pPr>
        <w:rPr>
          <w:szCs w:val="21"/>
        </w:rPr>
      </w:pPr>
      <w:r w:rsidRPr="003D47D9">
        <w:rPr>
          <w:b/>
          <w:bCs/>
          <w:szCs w:val="21"/>
        </w:rPr>
        <w:t xml:space="preserve">Analüüsi alusandmetega tutvusime ja analüüsi viisime läbi ajavahemikul </w:t>
      </w:r>
      <w:r w:rsidR="009E6FD3">
        <w:rPr>
          <w:b/>
          <w:bCs/>
          <w:szCs w:val="21"/>
        </w:rPr>
        <w:t>02</w:t>
      </w:r>
      <w:r w:rsidRPr="003D47D9">
        <w:rPr>
          <w:b/>
          <w:bCs/>
          <w:szCs w:val="21"/>
        </w:rPr>
        <w:t>.</w:t>
      </w:r>
      <w:r w:rsidR="009E6FD3">
        <w:rPr>
          <w:b/>
          <w:bCs/>
          <w:szCs w:val="21"/>
        </w:rPr>
        <w:t>jaanuar</w:t>
      </w:r>
      <w:r w:rsidR="001173ED">
        <w:rPr>
          <w:b/>
          <w:bCs/>
          <w:szCs w:val="21"/>
        </w:rPr>
        <w:t>–</w:t>
      </w:r>
      <w:r w:rsidR="009E6FD3">
        <w:rPr>
          <w:b/>
          <w:bCs/>
          <w:szCs w:val="21"/>
        </w:rPr>
        <w:t>02</w:t>
      </w:r>
      <w:r w:rsidRPr="003D47D9">
        <w:rPr>
          <w:b/>
          <w:bCs/>
          <w:szCs w:val="21"/>
        </w:rPr>
        <w:t>.</w:t>
      </w:r>
      <w:r w:rsidR="00EB11F8">
        <w:rPr>
          <w:b/>
          <w:bCs/>
          <w:szCs w:val="21"/>
        </w:rPr>
        <w:t xml:space="preserve"> </w:t>
      </w:r>
      <w:r w:rsidR="009E6FD3">
        <w:rPr>
          <w:b/>
          <w:bCs/>
          <w:szCs w:val="21"/>
        </w:rPr>
        <w:t>veebruar</w:t>
      </w:r>
      <w:r w:rsidRPr="003D47D9">
        <w:rPr>
          <w:b/>
          <w:bCs/>
          <w:szCs w:val="21"/>
        </w:rPr>
        <w:t xml:space="preserve"> 202</w:t>
      </w:r>
      <w:r w:rsidR="009E6FD3">
        <w:rPr>
          <w:b/>
          <w:bCs/>
          <w:szCs w:val="21"/>
        </w:rPr>
        <w:t>6</w:t>
      </w:r>
      <w:r w:rsidRPr="003D47D9">
        <w:rPr>
          <w:b/>
          <w:bCs/>
          <w:szCs w:val="21"/>
        </w:rPr>
        <w:t>.</w:t>
      </w:r>
    </w:p>
    <w:p w14:paraId="63983E11" w14:textId="77777777" w:rsidR="003D47D9" w:rsidRDefault="003D47D9">
      <w:pPr>
        <w:jc w:val="left"/>
        <w:rPr>
          <w:rFonts w:asciiTheme="majorHAnsi" w:eastAsiaTheme="majorEastAsia" w:hAnsiTheme="majorHAnsi" w:cstheme="majorBidi"/>
          <w:color w:val="0F4761" w:themeColor="accent1" w:themeShade="BF"/>
          <w:sz w:val="32"/>
          <w:szCs w:val="40"/>
        </w:rPr>
      </w:pPr>
    </w:p>
    <w:p w14:paraId="6291F96D" w14:textId="77777777" w:rsidR="00EB11F8" w:rsidRDefault="00EB11F8">
      <w:pPr>
        <w:jc w:val="left"/>
        <w:rPr>
          <w:rFonts w:asciiTheme="majorHAnsi" w:eastAsiaTheme="majorEastAsia" w:hAnsiTheme="majorHAnsi" w:cstheme="majorBidi"/>
          <w:color w:val="0F4761" w:themeColor="accent1" w:themeShade="BF"/>
          <w:sz w:val="32"/>
          <w:szCs w:val="40"/>
        </w:rPr>
      </w:pPr>
      <w:r>
        <w:br w:type="page"/>
      </w:r>
    </w:p>
    <w:p w14:paraId="151AAFFB" w14:textId="77777777" w:rsidR="00334024" w:rsidRPr="00334024" w:rsidRDefault="00334024" w:rsidP="00663E9A">
      <w:pPr>
        <w:pStyle w:val="Pealkiri1"/>
      </w:pPr>
      <w:bookmarkStart w:id="3" w:name="_Toc228177581"/>
      <w:r w:rsidRPr="00741C26">
        <w:lastRenderedPageBreak/>
        <w:t>Metoodika</w:t>
      </w:r>
      <w:bookmarkEnd w:id="3"/>
    </w:p>
    <w:p w14:paraId="3BDDDA72" w14:textId="233B4BF8" w:rsidR="00EB11F8" w:rsidRPr="0056062F" w:rsidRDefault="00133418" w:rsidP="00334024">
      <w:r w:rsidRPr="00133418">
        <w:rPr>
          <w:szCs w:val="21"/>
        </w:rPr>
        <w:t>Käesolev analüüs kirjeldab HORECA-sektori meelelahutusteenust ja kiirtoitlustust pakkuvate ettevõtjate</w:t>
      </w:r>
      <w:r w:rsidR="00E71CA9">
        <w:rPr>
          <w:szCs w:val="21"/>
        </w:rPr>
        <w:t xml:space="preserve"> </w:t>
      </w:r>
      <w:r w:rsidR="00EB11F8">
        <w:rPr>
          <w:szCs w:val="21"/>
        </w:rPr>
        <w:t xml:space="preserve">jookide ning toitude serveerimisega kaasnevaid kulusid sõltuvalt ühekordsete või korduvkasutatavate nõude rakendamise stsenaariumite võrdluses. </w:t>
      </w:r>
      <w:r w:rsidR="00334024" w:rsidRPr="00C95DF4">
        <w:rPr>
          <w:szCs w:val="21"/>
        </w:rPr>
        <w:t xml:space="preserve"> </w:t>
      </w:r>
      <w:r w:rsidR="0056062F" w:rsidRPr="0056062F">
        <w:rPr>
          <w:b/>
          <w:bCs/>
          <w:szCs w:val="21"/>
        </w:rPr>
        <w:t>Analüüs viidi läbi ette määratud tegevusalade lõikes; sihtrühma kuulusid näiteks kinod, ööklubid, spaad, teatrid, kontserdipaigad, spordihallid ja kiirtoidukohad</w:t>
      </w:r>
      <w:r w:rsidR="00BD7B21">
        <w:rPr>
          <w:b/>
          <w:bCs/>
        </w:rPr>
        <w:t>.</w:t>
      </w:r>
    </w:p>
    <w:p w14:paraId="49120BF9" w14:textId="3B83FC9C" w:rsidR="00C20982" w:rsidRPr="00C95DF4" w:rsidRDefault="00334024" w:rsidP="008A7E84">
      <w:pPr>
        <w:jc w:val="left"/>
        <w:rPr>
          <w:szCs w:val="21"/>
        </w:rPr>
      </w:pPr>
      <w:r w:rsidRPr="00C95DF4">
        <w:rPr>
          <w:b/>
          <w:bCs/>
          <w:szCs w:val="21"/>
        </w:rPr>
        <w:t>Sihtrühm:</w:t>
      </w:r>
      <w:r w:rsidRPr="00C95DF4">
        <w:rPr>
          <w:szCs w:val="21"/>
        </w:rPr>
        <w:t> </w:t>
      </w:r>
      <w:r w:rsidR="008A7E84">
        <w:rPr>
          <w:szCs w:val="21"/>
        </w:rPr>
        <w:t>meelelahutusteenust ja kiirtoitlustust pakkuva</w:t>
      </w:r>
      <w:r w:rsidR="00ED353D">
        <w:rPr>
          <w:szCs w:val="21"/>
        </w:rPr>
        <w:t>d</w:t>
      </w:r>
      <w:r w:rsidR="008A7E84">
        <w:rPr>
          <w:szCs w:val="21"/>
        </w:rPr>
        <w:t xml:space="preserve"> ettevõtjad</w:t>
      </w:r>
      <w:r w:rsidR="00BD7B21">
        <w:t>,</w:t>
      </w:r>
      <w:r w:rsidR="008A7E84">
        <w:rPr>
          <w:szCs w:val="21"/>
        </w:rPr>
        <w:t xml:space="preserve"> kus </w:t>
      </w:r>
      <w:r w:rsidR="008A7E84" w:rsidRPr="008A7E84">
        <w:rPr>
          <w:szCs w:val="21"/>
        </w:rPr>
        <w:t>toidu ja joogi tarbimine toimub piiratud alal</w:t>
      </w:r>
      <w:r w:rsidR="00EF301B">
        <w:rPr>
          <w:szCs w:val="21"/>
        </w:rPr>
        <w:t xml:space="preserve"> ehk suletud süsteemis</w:t>
      </w:r>
      <w:r w:rsidR="008A7E84" w:rsidRPr="008A7E84">
        <w:rPr>
          <w:szCs w:val="21"/>
        </w:rPr>
        <w:t>.</w:t>
      </w:r>
      <w:r w:rsidR="008A7E84">
        <w:rPr>
          <w:b/>
          <w:bCs/>
          <w:szCs w:val="21"/>
        </w:rPr>
        <w:t xml:space="preserve"> </w:t>
      </w:r>
      <w:r w:rsidRPr="00C95DF4">
        <w:rPr>
          <w:szCs w:val="21"/>
        </w:rPr>
        <w:br/>
      </w:r>
      <w:r w:rsidRPr="00C95DF4">
        <w:rPr>
          <w:b/>
          <w:bCs/>
          <w:szCs w:val="21"/>
        </w:rPr>
        <w:t>Ajajoon:</w:t>
      </w:r>
      <w:r w:rsidRPr="00C95DF4">
        <w:rPr>
          <w:szCs w:val="21"/>
        </w:rPr>
        <w:t> </w:t>
      </w:r>
      <w:r w:rsidR="008A7E84">
        <w:rPr>
          <w:szCs w:val="21"/>
        </w:rPr>
        <w:t>2026–203</w:t>
      </w:r>
      <w:r w:rsidR="005B3E51">
        <w:rPr>
          <w:szCs w:val="21"/>
        </w:rPr>
        <w:t>1</w:t>
      </w:r>
      <w:r w:rsidRPr="00C95DF4">
        <w:rPr>
          <w:szCs w:val="21"/>
        </w:rPr>
        <w:t xml:space="preserve">; </w:t>
      </w:r>
      <w:r w:rsidR="008A7E84">
        <w:rPr>
          <w:szCs w:val="21"/>
        </w:rPr>
        <w:t>majandusnäitajad 2023–2024</w:t>
      </w:r>
      <w:r w:rsidR="00C20982" w:rsidRPr="00C95DF4">
        <w:rPr>
          <w:szCs w:val="21"/>
        </w:rPr>
        <w:t>.</w:t>
      </w:r>
    </w:p>
    <w:p w14:paraId="54623103" w14:textId="77777777" w:rsidR="00776803" w:rsidRDefault="00A656C0" w:rsidP="009E6FD3">
      <w:r w:rsidRPr="00A656C0">
        <w:rPr>
          <w:szCs w:val="21"/>
        </w:rPr>
        <w:t xml:space="preserve">Analüüsis </w:t>
      </w:r>
      <w:r w:rsidR="009E6FD3" w:rsidRPr="00A656C0">
        <w:t>t</w:t>
      </w:r>
      <w:r w:rsidR="009E6FD3">
        <w:t>uginetakse rahvusvahelises kirjanduses levinud CBA lähenemisele pakendite ringluse ja korduskasutuse poliitikameetmete hindamisel: kulud ja tulud tuvastatakse, kvantifitseeritakse ning diskonteeritakse ajas, et võrrelda alternatiivsete süsteemide sotsiaalmajanduslikku otstarbekust. Käesolev töö rakendab sama loogikat ettevõtte- ja teenusepõhisteks juhtumiuuringuteks, s.t. analüüsi fookus on konkreetsete suletud süsteemide tegevuskuludel, investeeringutel ja välditavatel BAU-kuludel.</w:t>
      </w:r>
      <w:r w:rsidR="005D4D93">
        <w:t xml:space="preserve"> </w:t>
      </w:r>
      <w:r w:rsidR="00776803">
        <w:t xml:space="preserve">CBA läbiviimiseks konstrueeriti erinevad stsenaariumid (Tabel 1). </w:t>
      </w:r>
    </w:p>
    <w:p w14:paraId="55FF2CF6" w14:textId="2E63152A" w:rsidR="00BE3ED3" w:rsidRDefault="00BE3ED3" w:rsidP="00776803">
      <w:pPr>
        <w:pStyle w:val="Vahedeta"/>
      </w:pPr>
      <w:r w:rsidRPr="00776803">
        <w:rPr>
          <w:b/>
          <w:bCs/>
        </w:rPr>
        <w:t>Tabel</w:t>
      </w:r>
      <w:r w:rsidR="0056062F">
        <w:rPr>
          <w:b/>
          <w:bCs/>
        </w:rPr>
        <w:t xml:space="preserve"> </w:t>
      </w:r>
      <w:r w:rsidRPr="00776803">
        <w:rPr>
          <w:b/>
          <w:bCs/>
        </w:rPr>
        <w:t>1.</w:t>
      </w:r>
      <w:r>
        <w:t xml:space="preserve"> </w:t>
      </w:r>
      <w:r w:rsidR="00C43ADB" w:rsidRPr="00C43ADB">
        <w:t>Korduskasutatavate pakendite CBA‑stsenaariumid (BAU ja stsenaariumid II–IV)</w:t>
      </w:r>
    </w:p>
    <w:tbl>
      <w:tblPr>
        <w:tblStyle w:val="Tabelilaad"/>
        <w:tblW w:w="0" w:type="auto"/>
        <w:tblLook w:val="04A0" w:firstRow="1" w:lastRow="0" w:firstColumn="1" w:lastColumn="0" w:noHBand="0" w:noVBand="1"/>
      </w:tblPr>
      <w:tblGrid>
        <w:gridCol w:w="3119"/>
        <w:gridCol w:w="2641"/>
        <w:gridCol w:w="2880"/>
      </w:tblGrid>
      <w:tr w:rsidR="00A656C0" w:rsidRPr="00366D59" w14:paraId="115CEBBB" w14:textId="77777777" w:rsidTr="00C43ADB">
        <w:trPr>
          <w:cnfStyle w:val="100000000000" w:firstRow="1" w:lastRow="0" w:firstColumn="0" w:lastColumn="0" w:oddVBand="0" w:evenVBand="0" w:oddHBand="0" w:evenHBand="0" w:firstRowFirstColumn="0" w:firstRowLastColumn="0" w:lastRowFirstColumn="0" w:lastRowLastColumn="0"/>
        </w:trPr>
        <w:tc>
          <w:tcPr>
            <w:tcW w:w="3119" w:type="dxa"/>
          </w:tcPr>
          <w:p w14:paraId="396CB049" w14:textId="77777777" w:rsidR="00A656C0" w:rsidRPr="00366D59" w:rsidRDefault="00A656C0" w:rsidP="000619BA">
            <w:pPr>
              <w:rPr>
                <w:sz w:val="18"/>
                <w:szCs w:val="18"/>
              </w:rPr>
            </w:pPr>
            <w:r w:rsidRPr="00366D59">
              <w:rPr>
                <w:sz w:val="18"/>
                <w:szCs w:val="18"/>
              </w:rPr>
              <w:t>Stsenaarium</w:t>
            </w:r>
          </w:p>
        </w:tc>
        <w:tc>
          <w:tcPr>
            <w:tcW w:w="2641" w:type="dxa"/>
          </w:tcPr>
          <w:p w14:paraId="19B3AEF9" w14:textId="77777777" w:rsidR="00A656C0" w:rsidRPr="00366D59" w:rsidRDefault="00A656C0" w:rsidP="000619BA">
            <w:pPr>
              <w:rPr>
                <w:sz w:val="18"/>
                <w:szCs w:val="18"/>
              </w:rPr>
            </w:pPr>
            <w:r w:rsidRPr="00366D59">
              <w:rPr>
                <w:sz w:val="18"/>
                <w:szCs w:val="18"/>
              </w:rPr>
              <w:t>Kirjeldus</w:t>
            </w:r>
          </w:p>
        </w:tc>
        <w:tc>
          <w:tcPr>
            <w:tcW w:w="2880" w:type="dxa"/>
          </w:tcPr>
          <w:p w14:paraId="1D4C40C1" w14:textId="77777777" w:rsidR="00A656C0" w:rsidRPr="00366D59" w:rsidRDefault="00A656C0" w:rsidP="000619BA">
            <w:pPr>
              <w:rPr>
                <w:sz w:val="18"/>
                <w:szCs w:val="18"/>
              </w:rPr>
            </w:pPr>
            <w:r w:rsidRPr="00366D59">
              <w:rPr>
                <w:sz w:val="18"/>
                <w:szCs w:val="18"/>
              </w:rPr>
              <w:t>Peamised kulud/tulud (näited)</w:t>
            </w:r>
          </w:p>
        </w:tc>
      </w:tr>
      <w:tr w:rsidR="00A656C0" w:rsidRPr="00366D59" w14:paraId="4344E3C1" w14:textId="77777777" w:rsidTr="00C43ADB">
        <w:tc>
          <w:tcPr>
            <w:tcW w:w="3119" w:type="dxa"/>
          </w:tcPr>
          <w:p w14:paraId="34CC2094" w14:textId="4B1CC95C" w:rsidR="00A656C0" w:rsidRPr="00366D59" w:rsidRDefault="00A656C0" w:rsidP="000619BA">
            <w:pPr>
              <w:jc w:val="left"/>
              <w:rPr>
                <w:sz w:val="18"/>
                <w:szCs w:val="18"/>
              </w:rPr>
            </w:pPr>
            <w:r w:rsidRPr="00366D59">
              <w:rPr>
                <w:sz w:val="18"/>
                <w:szCs w:val="18"/>
              </w:rPr>
              <w:t>BAU</w:t>
            </w:r>
            <w:r w:rsidR="00C43ADB">
              <w:rPr>
                <w:sz w:val="18"/>
                <w:szCs w:val="18"/>
              </w:rPr>
              <w:t>-stsenaarium</w:t>
            </w:r>
            <w:r w:rsidRPr="00366D59">
              <w:rPr>
                <w:sz w:val="18"/>
                <w:szCs w:val="18"/>
              </w:rPr>
              <w:t xml:space="preserve"> (mittesekkumine)</w:t>
            </w:r>
          </w:p>
        </w:tc>
        <w:tc>
          <w:tcPr>
            <w:tcW w:w="2641" w:type="dxa"/>
          </w:tcPr>
          <w:p w14:paraId="160A97B9" w14:textId="77777777" w:rsidR="00A656C0" w:rsidRPr="00366D59" w:rsidRDefault="00A656C0" w:rsidP="000619BA">
            <w:pPr>
              <w:jc w:val="left"/>
              <w:rPr>
                <w:sz w:val="18"/>
                <w:szCs w:val="18"/>
              </w:rPr>
            </w:pPr>
            <w:r w:rsidRPr="00366D59">
              <w:rPr>
                <w:sz w:val="18"/>
                <w:szCs w:val="18"/>
              </w:rPr>
              <w:t>Ühekordsete pakendite kasutamine suletud süsteemis; olemasolev jäätmekäitlus ja tootjavastutuse raamistik.</w:t>
            </w:r>
          </w:p>
        </w:tc>
        <w:tc>
          <w:tcPr>
            <w:tcW w:w="2880" w:type="dxa"/>
          </w:tcPr>
          <w:p w14:paraId="2F6B5266" w14:textId="4DD2B71A" w:rsidR="00A656C0" w:rsidRPr="00366D59" w:rsidRDefault="00A656C0" w:rsidP="000619BA">
            <w:pPr>
              <w:jc w:val="left"/>
              <w:rPr>
                <w:sz w:val="18"/>
                <w:szCs w:val="18"/>
              </w:rPr>
            </w:pPr>
            <w:r w:rsidRPr="00366D59">
              <w:rPr>
                <w:sz w:val="18"/>
                <w:szCs w:val="18"/>
              </w:rPr>
              <w:t>Ühekordsete ost; jäätmekäitlus; tootjavastutuse tasu</w:t>
            </w:r>
            <w:r w:rsidR="00F215DB">
              <w:rPr>
                <w:sz w:val="18"/>
                <w:szCs w:val="18"/>
              </w:rPr>
              <w:t>d</w:t>
            </w:r>
            <w:r w:rsidRPr="00366D59">
              <w:rPr>
                <w:sz w:val="18"/>
                <w:szCs w:val="18"/>
              </w:rPr>
              <w:t>.</w:t>
            </w:r>
          </w:p>
        </w:tc>
      </w:tr>
      <w:tr w:rsidR="00A656C0" w:rsidRPr="00366D59" w14:paraId="256335A4" w14:textId="77777777" w:rsidTr="00C43ADB">
        <w:tc>
          <w:tcPr>
            <w:tcW w:w="3119" w:type="dxa"/>
          </w:tcPr>
          <w:p w14:paraId="44E22EA4" w14:textId="77777777" w:rsidR="00A656C0" w:rsidRPr="00366D59" w:rsidRDefault="00A656C0" w:rsidP="000619BA">
            <w:pPr>
              <w:jc w:val="left"/>
              <w:rPr>
                <w:sz w:val="18"/>
                <w:szCs w:val="18"/>
              </w:rPr>
            </w:pPr>
            <w:r w:rsidRPr="00366D59">
              <w:rPr>
                <w:sz w:val="18"/>
                <w:szCs w:val="18"/>
              </w:rPr>
              <w:t xml:space="preserve">Stsenaarium </w:t>
            </w:r>
            <w:r>
              <w:rPr>
                <w:sz w:val="18"/>
                <w:szCs w:val="18"/>
              </w:rPr>
              <w:t xml:space="preserve">II </w:t>
            </w:r>
            <w:r w:rsidRPr="00366D59">
              <w:rPr>
                <w:sz w:val="18"/>
                <w:szCs w:val="18"/>
              </w:rPr>
              <w:t>kohapealne pesu</w:t>
            </w:r>
          </w:p>
        </w:tc>
        <w:tc>
          <w:tcPr>
            <w:tcW w:w="2641" w:type="dxa"/>
          </w:tcPr>
          <w:p w14:paraId="34242704" w14:textId="77777777" w:rsidR="00A656C0" w:rsidRPr="00366D59" w:rsidRDefault="00A656C0" w:rsidP="000619BA">
            <w:pPr>
              <w:jc w:val="left"/>
              <w:rPr>
                <w:sz w:val="18"/>
                <w:szCs w:val="18"/>
              </w:rPr>
            </w:pPr>
            <w:r w:rsidRPr="00366D59">
              <w:rPr>
                <w:sz w:val="18"/>
                <w:szCs w:val="18"/>
              </w:rPr>
              <w:t>Üleminek korduskasutatavatele nõudele/pakenditele; tagastus ja kogumine toimub</w:t>
            </w:r>
            <w:r>
              <w:rPr>
                <w:sz w:val="18"/>
                <w:szCs w:val="18"/>
              </w:rPr>
              <w:t xml:space="preserve"> ettevõtte </w:t>
            </w:r>
            <w:r w:rsidRPr="00366D59">
              <w:rPr>
                <w:sz w:val="18"/>
                <w:szCs w:val="18"/>
              </w:rPr>
              <w:t>sees; pesu teostatakse kohapeal.</w:t>
            </w:r>
          </w:p>
        </w:tc>
        <w:tc>
          <w:tcPr>
            <w:tcW w:w="2880" w:type="dxa"/>
          </w:tcPr>
          <w:p w14:paraId="69F98B55" w14:textId="77777777" w:rsidR="00A656C0" w:rsidRPr="00366D59" w:rsidRDefault="00A656C0" w:rsidP="000619BA">
            <w:pPr>
              <w:jc w:val="left"/>
              <w:rPr>
                <w:sz w:val="18"/>
                <w:szCs w:val="18"/>
              </w:rPr>
            </w:pPr>
            <w:r w:rsidRPr="00366D59">
              <w:rPr>
                <w:sz w:val="18"/>
                <w:szCs w:val="18"/>
              </w:rPr>
              <w:t xml:space="preserve">CAPEX: pesu- ja kuivatustehnika, ruumilahendus; OPEX: elekter/vesi/tarvikud, tööjõud; </w:t>
            </w:r>
            <w:r>
              <w:rPr>
                <w:sz w:val="18"/>
                <w:szCs w:val="18"/>
              </w:rPr>
              <w:t>pakendite asenduskulu</w:t>
            </w:r>
            <w:r w:rsidRPr="00366D59">
              <w:rPr>
                <w:sz w:val="18"/>
                <w:szCs w:val="18"/>
              </w:rPr>
              <w:t xml:space="preserve"> kadu/purunemine; väl</w:t>
            </w:r>
            <w:r>
              <w:rPr>
                <w:sz w:val="18"/>
                <w:szCs w:val="18"/>
              </w:rPr>
              <w:t>d</w:t>
            </w:r>
            <w:r w:rsidRPr="00366D59">
              <w:rPr>
                <w:sz w:val="18"/>
                <w:szCs w:val="18"/>
              </w:rPr>
              <w:t>itavad BAU kulud.</w:t>
            </w:r>
          </w:p>
        </w:tc>
      </w:tr>
      <w:tr w:rsidR="00A656C0" w:rsidRPr="00366D59" w14:paraId="33458691" w14:textId="77777777" w:rsidTr="00C43ADB">
        <w:tc>
          <w:tcPr>
            <w:tcW w:w="3119" w:type="dxa"/>
          </w:tcPr>
          <w:p w14:paraId="6A0D8E6C" w14:textId="77777777" w:rsidR="00A656C0" w:rsidRPr="00366D59" w:rsidRDefault="00A656C0" w:rsidP="000619BA">
            <w:pPr>
              <w:jc w:val="left"/>
              <w:rPr>
                <w:sz w:val="18"/>
                <w:szCs w:val="18"/>
              </w:rPr>
            </w:pPr>
            <w:r w:rsidRPr="00366D59">
              <w:rPr>
                <w:sz w:val="18"/>
                <w:szCs w:val="18"/>
              </w:rPr>
              <w:t xml:space="preserve">Stsenaarium </w:t>
            </w:r>
            <w:r>
              <w:rPr>
                <w:sz w:val="18"/>
                <w:szCs w:val="18"/>
              </w:rPr>
              <w:t>III</w:t>
            </w:r>
            <w:r w:rsidRPr="00366D59">
              <w:rPr>
                <w:sz w:val="18"/>
                <w:szCs w:val="18"/>
              </w:rPr>
              <w:t xml:space="preserve"> </w:t>
            </w:r>
            <w:r>
              <w:rPr>
                <w:sz w:val="18"/>
                <w:szCs w:val="18"/>
              </w:rPr>
              <w:t>tsentraalne pesu</w:t>
            </w:r>
          </w:p>
        </w:tc>
        <w:tc>
          <w:tcPr>
            <w:tcW w:w="2641" w:type="dxa"/>
          </w:tcPr>
          <w:p w14:paraId="251DA7C4" w14:textId="77777777" w:rsidR="00A656C0" w:rsidRPr="00366D59" w:rsidRDefault="00A656C0" w:rsidP="000619BA">
            <w:pPr>
              <w:jc w:val="left"/>
              <w:rPr>
                <w:sz w:val="18"/>
                <w:szCs w:val="18"/>
              </w:rPr>
            </w:pPr>
            <w:r w:rsidRPr="00366D59">
              <w:rPr>
                <w:sz w:val="18"/>
                <w:szCs w:val="18"/>
              </w:rPr>
              <w:t>Tsentraalne pesu (keskne pesupunkt / tsentraalne pesulahendus)</w:t>
            </w:r>
            <w:r>
              <w:rPr>
                <w:sz w:val="18"/>
                <w:szCs w:val="18"/>
              </w:rPr>
              <w:t>; logistika ja pesu korraldab ettevõte.</w:t>
            </w:r>
          </w:p>
          <w:p w14:paraId="7DB9DE92" w14:textId="77777777" w:rsidR="00A656C0" w:rsidRPr="00366D59" w:rsidRDefault="00A656C0" w:rsidP="000619BA">
            <w:pPr>
              <w:jc w:val="left"/>
              <w:rPr>
                <w:sz w:val="18"/>
                <w:szCs w:val="18"/>
              </w:rPr>
            </w:pPr>
            <w:r>
              <w:rPr>
                <w:sz w:val="18"/>
                <w:szCs w:val="18"/>
              </w:rPr>
              <w:t xml:space="preserve"> </w:t>
            </w:r>
          </w:p>
        </w:tc>
        <w:tc>
          <w:tcPr>
            <w:tcW w:w="2880" w:type="dxa"/>
          </w:tcPr>
          <w:p w14:paraId="5E9C751B" w14:textId="77777777" w:rsidR="00A656C0" w:rsidRPr="00366D59" w:rsidRDefault="00A656C0" w:rsidP="000619BA">
            <w:pPr>
              <w:jc w:val="left"/>
              <w:rPr>
                <w:sz w:val="18"/>
                <w:szCs w:val="18"/>
              </w:rPr>
            </w:pPr>
            <w:r w:rsidRPr="00366D59">
              <w:rPr>
                <w:sz w:val="18"/>
                <w:szCs w:val="18"/>
              </w:rPr>
              <w:t>CAPEX</w:t>
            </w:r>
            <w:r>
              <w:rPr>
                <w:sz w:val="18"/>
                <w:szCs w:val="18"/>
              </w:rPr>
              <w:t>: pesuliin; OPEX: l</w:t>
            </w:r>
            <w:r w:rsidRPr="00366D59">
              <w:rPr>
                <w:sz w:val="18"/>
                <w:szCs w:val="18"/>
              </w:rPr>
              <w:t xml:space="preserve">ogistika; </w:t>
            </w:r>
            <w:r>
              <w:rPr>
                <w:sz w:val="18"/>
                <w:szCs w:val="18"/>
              </w:rPr>
              <w:t>ettevõtte</w:t>
            </w:r>
            <w:r w:rsidRPr="00366D59">
              <w:rPr>
                <w:sz w:val="18"/>
                <w:szCs w:val="18"/>
              </w:rPr>
              <w:t xml:space="preserve"> sisene tööjõud tagastuse korraldamiseks; </w:t>
            </w:r>
            <w:r>
              <w:rPr>
                <w:sz w:val="18"/>
                <w:szCs w:val="18"/>
              </w:rPr>
              <w:t xml:space="preserve">pakendite asenduskulu, </w:t>
            </w:r>
            <w:r w:rsidRPr="00366D59">
              <w:rPr>
                <w:sz w:val="18"/>
                <w:szCs w:val="18"/>
              </w:rPr>
              <w:t>kadu/purunemine; väl</w:t>
            </w:r>
            <w:r>
              <w:rPr>
                <w:sz w:val="18"/>
                <w:szCs w:val="18"/>
              </w:rPr>
              <w:t>d</w:t>
            </w:r>
            <w:r w:rsidRPr="00366D59">
              <w:rPr>
                <w:sz w:val="18"/>
                <w:szCs w:val="18"/>
              </w:rPr>
              <w:t>itavad BAU kulud; võimalikud liitumis-/IT-kulud.</w:t>
            </w:r>
          </w:p>
        </w:tc>
      </w:tr>
      <w:tr w:rsidR="00A656C0" w:rsidRPr="00366D59" w14:paraId="27B0496A" w14:textId="77777777" w:rsidTr="00C43ADB">
        <w:tc>
          <w:tcPr>
            <w:tcW w:w="3119" w:type="dxa"/>
          </w:tcPr>
          <w:p w14:paraId="0D4848E3" w14:textId="4EFBA438" w:rsidR="00A656C0" w:rsidRPr="00366D59" w:rsidRDefault="00A656C0" w:rsidP="000619BA">
            <w:pPr>
              <w:jc w:val="left"/>
              <w:rPr>
                <w:sz w:val="18"/>
                <w:szCs w:val="18"/>
              </w:rPr>
            </w:pPr>
            <w:r w:rsidRPr="00366D59">
              <w:rPr>
                <w:sz w:val="18"/>
                <w:szCs w:val="18"/>
              </w:rPr>
              <w:t>Stsenaarium</w:t>
            </w:r>
            <w:r>
              <w:rPr>
                <w:sz w:val="18"/>
                <w:szCs w:val="18"/>
              </w:rPr>
              <w:t xml:space="preserve"> IV</w:t>
            </w:r>
            <w:r w:rsidRPr="00366D59">
              <w:rPr>
                <w:sz w:val="18"/>
                <w:szCs w:val="18"/>
              </w:rPr>
              <w:t xml:space="preserve"> </w:t>
            </w:r>
            <w:r w:rsidR="00596022">
              <w:rPr>
                <w:sz w:val="18"/>
                <w:szCs w:val="18"/>
              </w:rPr>
              <w:t>täis</w:t>
            </w:r>
            <w:r>
              <w:rPr>
                <w:sz w:val="18"/>
                <w:szCs w:val="18"/>
              </w:rPr>
              <w:t xml:space="preserve">teenus </w:t>
            </w:r>
          </w:p>
        </w:tc>
        <w:tc>
          <w:tcPr>
            <w:tcW w:w="2641" w:type="dxa"/>
          </w:tcPr>
          <w:p w14:paraId="2920E8A2" w14:textId="71D316DC" w:rsidR="00A656C0" w:rsidRPr="00366D59" w:rsidRDefault="00A656C0" w:rsidP="000619BA">
            <w:pPr>
              <w:jc w:val="left"/>
              <w:rPr>
                <w:sz w:val="18"/>
                <w:szCs w:val="18"/>
              </w:rPr>
            </w:pPr>
            <w:r>
              <w:rPr>
                <w:sz w:val="18"/>
                <w:szCs w:val="18"/>
              </w:rPr>
              <w:t xml:space="preserve">Täisteenus </w:t>
            </w:r>
            <w:r w:rsidR="00596022">
              <w:rPr>
                <w:sz w:val="18"/>
                <w:szCs w:val="18"/>
              </w:rPr>
              <w:t>(</w:t>
            </w:r>
            <w:r>
              <w:rPr>
                <w:sz w:val="18"/>
                <w:szCs w:val="18"/>
              </w:rPr>
              <w:t>pakend</w:t>
            </w:r>
            <w:r w:rsidR="00596022">
              <w:rPr>
                <w:sz w:val="18"/>
                <w:szCs w:val="18"/>
              </w:rPr>
              <w:t>, kogumine, pesu, logistika)</w:t>
            </w:r>
          </w:p>
        </w:tc>
        <w:tc>
          <w:tcPr>
            <w:tcW w:w="2880" w:type="dxa"/>
          </w:tcPr>
          <w:p w14:paraId="6E896338" w14:textId="77777777" w:rsidR="00A656C0" w:rsidRPr="00366D59" w:rsidRDefault="00A656C0" w:rsidP="000619BA">
            <w:pPr>
              <w:jc w:val="left"/>
              <w:rPr>
                <w:sz w:val="18"/>
                <w:szCs w:val="18"/>
              </w:rPr>
            </w:pPr>
            <w:r>
              <w:rPr>
                <w:sz w:val="18"/>
                <w:szCs w:val="18"/>
              </w:rPr>
              <w:t>Teenustasu</w:t>
            </w:r>
          </w:p>
        </w:tc>
      </w:tr>
    </w:tbl>
    <w:p w14:paraId="30FD3AE7" w14:textId="64DB8C40" w:rsidR="008D4CE5" w:rsidRPr="008D4CE5" w:rsidRDefault="008D4CE5" w:rsidP="008D4CE5">
      <w:pPr>
        <w:pStyle w:val="Vahedeta"/>
        <w:rPr>
          <w:i/>
          <w:iCs/>
          <w:sz w:val="18"/>
          <w:szCs w:val="18"/>
        </w:rPr>
      </w:pPr>
      <w:r w:rsidRPr="008D4CE5">
        <w:rPr>
          <w:i/>
          <w:iCs/>
          <w:sz w:val="18"/>
          <w:szCs w:val="18"/>
        </w:rPr>
        <w:t xml:space="preserve">Allikas: autori </w:t>
      </w:r>
      <w:r w:rsidR="00EF301B">
        <w:rPr>
          <w:i/>
          <w:iCs/>
          <w:sz w:val="18"/>
          <w:szCs w:val="18"/>
        </w:rPr>
        <w:t>koostatud</w:t>
      </w:r>
    </w:p>
    <w:p w14:paraId="566414AD" w14:textId="77777777" w:rsidR="00027943" w:rsidRDefault="00027943" w:rsidP="00027943">
      <w:pPr>
        <w:rPr>
          <w:b/>
        </w:rPr>
      </w:pPr>
    </w:p>
    <w:p w14:paraId="0EF7BB4A" w14:textId="15FAF854" w:rsidR="00027943" w:rsidRDefault="00027943" w:rsidP="00027943">
      <w:r w:rsidRPr="00027943">
        <w:rPr>
          <w:b/>
        </w:rPr>
        <w:t>Rakenduseeldused ja piirangud (baasarvutus)</w:t>
      </w:r>
      <w:r w:rsidRPr="00027943">
        <w:t xml:space="preserve">. Baasarvutuses eeldatakse, et III (tsentraalne pesu) ja IV (täisteenus) stsenaariumites on teenuseosutus vähemalt osaliselt koondunud (nt üks piirkondlik operaator) ning kogumisvõrk piisava tihedusega, et </w:t>
      </w:r>
      <w:proofErr w:type="spellStart"/>
      <w:r w:rsidRPr="00027943">
        <w:t>pöördlogistika</w:t>
      </w:r>
      <w:proofErr w:type="spellEnd"/>
      <w:r w:rsidR="00A62F9C">
        <w:t xml:space="preserve"> </w:t>
      </w:r>
      <w:r w:rsidRPr="00027943">
        <w:t>püsikulud jaotuksid hinnatavale teenusemahule. Kui teenuseosutus on killustunud või kogumisvõrk hõre, võivad logistika- ja käsitluskulud olla baasarvutusest kõrgemad. Teenus1 puhul käsitletakse III stsenaariumi rakendatavust osalise võimalusena (eelkõige suuremates linnaklastrites või piisava mahu koondumise korral), mistõttu ei ole tulemusi otstarbekas üldistada kõigile asukohtadele.</w:t>
      </w:r>
      <w:r w:rsidR="002F1055">
        <w:t xml:space="preserve"> Ehk </w:t>
      </w:r>
      <w:r w:rsidR="002F1055" w:rsidRPr="002F1055">
        <w:t>baasarvutus eeldab mastaapi ja tihedat kogumisvõrku</w:t>
      </w:r>
      <w:r w:rsidR="002F1055">
        <w:t>. Kui see puudub</w:t>
      </w:r>
      <w:r w:rsidR="002F1055" w:rsidRPr="002F1055">
        <w:t>, siis III</w:t>
      </w:r>
      <w:r w:rsidR="002F1055">
        <w:t xml:space="preserve"> stsenaariumi</w:t>
      </w:r>
      <w:r w:rsidR="002F1055" w:rsidRPr="002F1055">
        <w:t xml:space="preserve"> ja IV</w:t>
      </w:r>
      <w:r w:rsidR="002F1055">
        <w:t xml:space="preserve"> stsenaariumi</w:t>
      </w:r>
      <w:r w:rsidR="002F1055" w:rsidRPr="002F1055">
        <w:t xml:space="preserve"> kulud (eriti logistika/käsitlus) võivad olla kõrgemad ning Teenus1 III</w:t>
      </w:r>
      <w:r w:rsidR="002F1055">
        <w:t xml:space="preserve"> stsenaariumi</w:t>
      </w:r>
      <w:r w:rsidR="002F1055" w:rsidRPr="002F1055">
        <w:t xml:space="preserve"> tulemusi saab rakendada pigem linnaklastrites, mitte kõikjal.</w:t>
      </w:r>
    </w:p>
    <w:p w14:paraId="7DC9901F" w14:textId="349338D3" w:rsidR="009E6FD3" w:rsidRDefault="009E6FD3" w:rsidP="00A656C0">
      <w:pPr>
        <w:spacing w:before="240"/>
      </w:pPr>
      <w:r>
        <w:lastRenderedPageBreak/>
        <w:t>Sotsiaalsed ja keskkonnamõjud käsitletakse analüüsis kontekstina ning sünteesitakse varasemast teaduskirjandusest ja olemasolevatest hinnangutest. Selline ulatus on kooskõlas lähteülesandega, mille kohaselt on põhifookus kvantitatiivsel majandusanalüüsil suletud süsteemide lõikes.</w:t>
      </w:r>
    </w:p>
    <w:p w14:paraId="38AAFE28" w14:textId="68366A7E" w:rsidR="009E6FD3" w:rsidRDefault="009E6FD3" w:rsidP="009E6FD3">
      <w:r>
        <w:t>Analüüs põhineb kolmel juhtumiuuringu</w:t>
      </w:r>
      <w:r w:rsidR="00FB0052">
        <w:t>l</w:t>
      </w:r>
      <w:r>
        <w:t>, mille andmed koguti kolmest ettevõttest, mis tegutsevad suletud süsteemi</w:t>
      </w:r>
      <w:r w:rsidR="00EF301B">
        <w:t>s</w:t>
      </w:r>
      <w:r>
        <w:t xml:space="preserve"> </w:t>
      </w:r>
      <w:r w:rsidR="00EF301B" w:rsidRPr="008A7E84">
        <w:rPr>
          <w:szCs w:val="21"/>
        </w:rPr>
        <w:t>toidu ja joogi tarbimi</w:t>
      </w:r>
      <w:r w:rsidR="00EF301B">
        <w:rPr>
          <w:szCs w:val="21"/>
        </w:rPr>
        <w:t xml:space="preserve">se pakkumisega </w:t>
      </w:r>
      <w:r>
        <w:t xml:space="preserve">(teenindus- või vabaajaasutused ning kiirtoidusektor). </w:t>
      </w:r>
    </w:p>
    <w:p w14:paraId="12E518FA" w14:textId="77777777" w:rsidR="009E6FD3" w:rsidRDefault="009E6FD3" w:rsidP="009E6FD3">
      <w:r>
        <w:t>Andmekogumine toimus struktureeritud küsimustiku (</w:t>
      </w:r>
      <w:r w:rsidR="00776803">
        <w:t>Lisa 1</w:t>
      </w:r>
      <w:r>
        <w:t>) alusel, mis edastati ettevõtetele e-kirja teel. Küsimustik koondas kvantitatiivsed sisendid (nt müügimahud, pakendite ühikuhinnad, jäätmekäitluse kulud, tööaja hinnangud) ning kvalitatiivsed selgitused rakendatavuse ja piirangute kohta (nt ruumipiirangud, operatiivprotsessid, koostöövõimalused). Vastused saadi ettevõtetelt valdavalt tekstiliste selgitustena ning osaliselt hinnanguliste suurusjärkude või olemasolevate kokkuvõtlike näitajatena; mitme detailse alajaotuse puhul osutati, et vastav raport ei ole ettevõttes valmis kujul olemas. Saadud sisendid struktureeriti ja sisestati analüüsi läbiviimiseks tabelpõhisesse sisendvormi, mis toimis ühtlustatud arvestusraamistikuna Teenus1</w:t>
      </w:r>
      <w:r w:rsidR="000E57EE">
        <w:t xml:space="preserve">, Teenus2 ja </w:t>
      </w:r>
      <w:r>
        <w:t>Teenus3 juhtumite vahel ning võimaldas rahavoogude ja CBA-mõõdikute (sh NPV) järjepidevat arvutamist.</w:t>
      </w:r>
    </w:p>
    <w:p w14:paraId="79FBFD7E" w14:textId="77777777" w:rsidR="000E57EE" w:rsidRDefault="000E57EE" w:rsidP="009E6FD3">
      <w:r>
        <w:t xml:space="preserve">Sisendandmed laekusid mitmes vormingus: lisaks e-kirja teel esitatud </w:t>
      </w:r>
      <w:proofErr w:type="spellStart"/>
      <w:r>
        <w:t>tekstilistele</w:t>
      </w:r>
      <w:proofErr w:type="spellEnd"/>
      <w:r>
        <w:t xml:space="preserve"> vastustele edastasid mõned ettevõtted täiendavaid kvantitatiivseid väljavõtteid ja arvandmeid </w:t>
      </w:r>
      <w:r w:rsidRPr="00776803">
        <w:rPr>
          <w:i/>
          <w:iCs/>
        </w:rPr>
        <w:t>Exceli</w:t>
      </w:r>
      <w:r>
        <w:t xml:space="preserve"> kujul (nt koondtabelid, hinnakirjad või mahupõhised kokkuvõtted). Kõik sisendid harmoniseeriti ühisesse arvestusraamistikku (</w:t>
      </w:r>
      <w:r w:rsidRPr="00776803">
        <w:rPr>
          <w:i/>
          <w:iCs/>
        </w:rPr>
        <w:t xml:space="preserve">Exceli </w:t>
      </w:r>
      <w:r>
        <w:t>sisendvorm), et tagada Teenus1, Teenus2 ja Teenus3 juhtumite võrreldavus.</w:t>
      </w:r>
    </w:p>
    <w:p w14:paraId="5338C056" w14:textId="77777777" w:rsidR="000E57EE" w:rsidRDefault="000E57EE" w:rsidP="000E57EE">
      <w:r>
        <w:t>Puuduvate andmete käsitlemisel rakendati dokumenteeritud eelduspõhist täitmist ja asendusandmete kasutust – kui konkreetse teenusetüübi kohta vajalik sisend jäi vastamata või puudus ettevõttes valmis raportina, kasutati järgmisi lähenemisi:</w:t>
      </w:r>
    </w:p>
    <w:p w14:paraId="43377CEE" w14:textId="77777777" w:rsidR="000E57EE" w:rsidRDefault="000E57EE" w:rsidP="000E57EE">
      <w:pPr>
        <w:pStyle w:val="Loendilik"/>
        <w:numPr>
          <w:ilvl w:val="1"/>
          <w:numId w:val="30"/>
        </w:numPr>
      </w:pPr>
      <w:r>
        <w:t>sama ettevõtte teistest näitajatest tuletatud hinnanguid;</w:t>
      </w:r>
    </w:p>
    <w:p w14:paraId="42C0A08F" w14:textId="77777777" w:rsidR="000E57EE" w:rsidRDefault="000E57EE" w:rsidP="000E57EE">
      <w:pPr>
        <w:pStyle w:val="Loendilik"/>
        <w:numPr>
          <w:ilvl w:val="1"/>
          <w:numId w:val="30"/>
        </w:numPr>
      </w:pPr>
      <w:r>
        <w:t>teise Teenuse vastavaid parameetreid asendusnäitajatena, kohandades neid mahupõhiste näitajatega (nt pakendite arv, teeninduspunktide arv jne);</w:t>
      </w:r>
    </w:p>
    <w:p w14:paraId="72DC6F94" w14:textId="77777777" w:rsidR="000E57EE" w:rsidRDefault="000E57EE" w:rsidP="000E57EE">
      <w:pPr>
        <w:pStyle w:val="Loendilik"/>
        <w:numPr>
          <w:ilvl w:val="1"/>
          <w:numId w:val="30"/>
        </w:numPr>
      </w:pPr>
      <w:r>
        <w:t xml:space="preserve">kirjandusest/varasematest uuringutest pärinevaid vaikimisi väärtusi. </w:t>
      </w:r>
    </w:p>
    <w:p w14:paraId="0DB1749C" w14:textId="77777777" w:rsidR="009E6FD3" w:rsidRDefault="000E57EE" w:rsidP="009E6FD3">
      <w:r>
        <w:t>Selline parameetrite ülekandmine juhtumite vahel on kooskõlas stsenaariumipõhise CBA praktikaga olukorras, kus hinnatav süsteem on osaliselt hüpoteetiline ja primaarandmed on puudulikud</w:t>
      </w:r>
      <w:r w:rsidR="00AA1A7A">
        <w:t>, kusjuures o</w:t>
      </w:r>
      <w:r>
        <w:t xml:space="preserve">luline on eelduste läbipaistvus ja mõju testimine tundlikkuse analüüsis. Kasutatud </w:t>
      </w:r>
      <w:r w:rsidR="00AA1A7A">
        <w:t>asendusandmed</w:t>
      </w:r>
      <w:r>
        <w:t xml:space="preserve"> ja kohandused fikseeriti sisendtabelites ning tulemusi tõlgendatakse kooskõlas nende eelduste piirangutega.</w:t>
      </w:r>
    </w:p>
    <w:p w14:paraId="6BD33140" w14:textId="77777777" w:rsidR="00334024" w:rsidRPr="00435576" w:rsidRDefault="00BD7B21" w:rsidP="00C20982">
      <w:pPr>
        <w:jc w:val="left"/>
        <w:rPr>
          <w:szCs w:val="21"/>
        </w:rPr>
      </w:pPr>
      <w:r w:rsidRPr="00435576">
        <w:rPr>
          <w:szCs w:val="21"/>
        </w:rPr>
        <w:t>Meetodi kasutamisel järgiti järgmiseid aluseid:</w:t>
      </w:r>
    </w:p>
    <w:p w14:paraId="20156760" w14:textId="77777777" w:rsidR="00BD7B21" w:rsidRPr="00435576" w:rsidRDefault="00E71CA9" w:rsidP="00BD7B21">
      <w:pPr>
        <w:pStyle w:val="Loendilik"/>
        <w:numPr>
          <w:ilvl w:val="0"/>
          <w:numId w:val="24"/>
        </w:numPr>
        <w:jc w:val="left"/>
        <w:rPr>
          <w:szCs w:val="21"/>
        </w:rPr>
      </w:pPr>
      <w:r w:rsidRPr="00435576">
        <w:rPr>
          <w:szCs w:val="21"/>
        </w:rPr>
        <w:t>J</w:t>
      </w:r>
      <w:r w:rsidR="00BD7B21" w:rsidRPr="00435576">
        <w:rPr>
          <w:szCs w:val="21"/>
        </w:rPr>
        <w:t>ookide ning toitude serveerimisega kaasnevad tegevused (tegevuse piirid) ja kulud</w:t>
      </w:r>
      <w:r w:rsidR="003548CC" w:rsidRPr="00435576">
        <w:rPr>
          <w:szCs w:val="21"/>
        </w:rPr>
        <w:t>.</w:t>
      </w:r>
      <w:r w:rsidR="00BD7B21" w:rsidRPr="00435576">
        <w:rPr>
          <w:szCs w:val="21"/>
        </w:rPr>
        <w:t xml:space="preserve"> </w:t>
      </w:r>
    </w:p>
    <w:p w14:paraId="702BA2EA" w14:textId="77777777" w:rsidR="00BD7B21" w:rsidRPr="00435576" w:rsidRDefault="00BD7B21" w:rsidP="00BD7B21">
      <w:pPr>
        <w:pStyle w:val="Loendilik"/>
        <w:numPr>
          <w:ilvl w:val="0"/>
          <w:numId w:val="24"/>
        </w:numPr>
        <w:jc w:val="left"/>
        <w:rPr>
          <w:szCs w:val="21"/>
        </w:rPr>
      </w:pPr>
      <w:r w:rsidRPr="00435576">
        <w:rPr>
          <w:szCs w:val="21"/>
        </w:rPr>
        <w:t>Iga tegevuse peamiste kulude kaardistamine (tööjõud, vesi, puhastusvahendid, kaod</w:t>
      </w:r>
      <w:r w:rsidR="0023563E" w:rsidRPr="00435576">
        <w:rPr>
          <w:szCs w:val="21"/>
        </w:rPr>
        <w:t xml:space="preserve"> jne</w:t>
      </w:r>
      <w:r w:rsidRPr="00435576">
        <w:rPr>
          <w:szCs w:val="21"/>
        </w:rPr>
        <w:t>)</w:t>
      </w:r>
      <w:r w:rsidR="003548CC" w:rsidRPr="00435576">
        <w:rPr>
          <w:szCs w:val="21"/>
        </w:rPr>
        <w:t>.</w:t>
      </w:r>
    </w:p>
    <w:p w14:paraId="5515F16E" w14:textId="03501090" w:rsidR="001A36FE" w:rsidRPr="00435576" w:rsidRDefault="001A36FE" w:rsidP="003D4B94">
      <w:pPr>
        <w:pStyle w:val="Loendilik"/>
        <w:numPr>
          <w:ilvl w:val="0"/>
          <w:numId w:val="27"/>
        </w:numPr>
        <w:jc w:val="left"/>
        <w:rPr>
          <w:szCs w:val="21"/>
        </w:rPr>
      </w:pPr>
      <w:r w:rsidRPr="00435576">
        <w:rPr>
          <w:szCs w:val="21"/>
        </w:rPr>
        <w:t>Tasuvus</w:t>
      </w:r>
      <w:r w:rsidR="00CB4B7C">
        <w:rPr>
          <w:szCs w:val="21"/>
        </w:rPr>
        <w:t>e</w:t>
      </w:r>
      <w:r w:rsidRPr="00435576">
        <w:rPr>
          <w:szCs w:val="21"/>
        </w:rPr>
        <w:t xml:space="preserve"> arvutamine (investeeringutele), milleks kasutatakse </w:t>
      </w:r>
      <w:proofErr w:type="spellStart"/>
      <w:r w:rsidRPr="00435576">
        <w:rPr>
          <w:szCs w:val="21"/>
        </w:rPr>
        <w:t>nüüdispuhasväärtuse</w:t>
      </w:r>
      <w:proofErr w:type="spellEnd"/>
      <w:r w:rsidRPr="00435576">
        <w:rPr>
          <w:szCs w:val="21"/>
        </w:rPr>
        <w:t xml:space="preserve"> meetodit (NPV)</w:t>
      </w:r>
      <w:r w:rsidR="00027943">
        <w:rPr>
          <w:szCs w:val="21"/>
        </w:rPr>
        <w:t>.</w:t>
      </w:r>
    </w:p>
    <w:p w14:paraId="45DBDDB4" w14:textId="77777777" w:rsidR="003D4B94" w:rsidRPr="00435576" w:rsidRDefault="003D4B94" w:rsidP="003D4B94">
      <w:pPr>
        <w:pStyle w:val="Loendilik"/>
        <w:numPr>
          <w:ilvl w:val="0"/>
          <w:numId w:val="27"/>
        </w:numPr>
        <w:jc w:val="left"/>
        <w:rPr>
          <w:szCs w:val="21"/>
        </w:rPr>
      </w:pPr>
      <w:r w:rsidRPr="00435576">
        <w:rPr>
          <w:szCs w:val="21"/>
        </w:rPr>
        <w:t>Tundlikkuse parameetrite kasutamine</w:t>
      </w:r>
      <w:r w:rsidR="000B686C" w:rsidRPr="00435576">
        <w:rPr>
          <w:szCs w:val="21"/>
        </w:rPr>
        <w:t>.</w:t>
      </w:r>
    </w:p>
    <w:p w14:paraId="1ED52CF1" w14:textId="77777777" w:rsidR="00C95DF4" w:rsidRDefault="00C95DF4" w:rsidP="00C95DF4">
      <w:pPr>
        <w:rPr>
          <w:szCs w:val="21"/>
        </w:rPr>
      </w:pPr>
      <w:r>
        <w:rPr>
          <w:szCs w:val="21"/>
        </w:rPr>
        <w:t>Analüüsis kasutati järgmiseid valemeid:</w:t>
      </w:r>
    </w:p>
    <w:p w14:paraId="7329D843" w14:textId="77777777" w:rsidR="003D4B94" w:rsidRDefault="003D4B94" w:rsidP="00C95DF4">
      <w:pPr>
        <w:rPr>
          <w:rFonts w:eastAsiaTheme="minorEastAsia"/>
          <w:szCs w:val="21"/>
        </w:rPr>
      </w:pPr>
      <m:oMath>
        <m:r>
          <w:rPr>
            <w:rFonts w:ascii="Cambria Math" w:hAnsi="Cambria Math"/>
            <w:szCs w:val="21"/>
          </w:rPr>
          <m:t>NPV=-</m:t>
        </m:r>
        <m:sSub>
          <m:sSubPr>
            <m:ctrlPr>
              <w:rPr>
                <w:rFonts w:ascii="Cambria Math" w:hAnsi="Cambria Math"/>
                <w:i/>
                <w:szCs w:val="21"/>
              </w:rPr>
            </m:ctrlPr>
          </m:sSubPr>
          <m:e>
            <m:r>
              <w:rPr>
                <w:rFonts w:ascii="Cambria Math" w:hAnsi="Cambria Math"/>
                <w:szCs w:val="21"/>
              </w:rPr>
              <m:t>C</m:t>
            </m:r>
          </m:e>
          <m:sub>
            <m:r>
              <w:rPr>
                <w:rFonts w:ascii="Cambria Math" w:hAnsi="Cambria Math"/>
                <w:szCs w:val="21"/>
              </w:rPr>
              <m:t>0</m:t>
            </m:r>
          </m:sub>
        </m:sSub>
        <m:r>
          <w:rPr>
            <w:rFonts w:ascii="Cambria Math" w:hAnsi="Cambria Math"/>
            <w:szCs w:val="21"/>
          </w:rPr>
          <m:t>+</m:t>
        </m:r>
        <m:nary>
          <m:naryPr>
            <m:chr m:val="∑"/>
            <m:ctrlPr>
              <w:rPr>
                <w:rFonts w:ascii="Cambria Math" w:hAnsi="Cambria Math"/>
                <w:szCs w:val="21"/>
              </w:rPr>
            </m:ctrlPr>
          </m:naryPr>
          <m:sub>
            <m:r>
              <w:rPr>
                <w:rFonts w:ascii="Cambria Math" w:hAnsi="Cambria Math"/>
                <w:szCs w:val="21"/>
              </w:rPr>
              <m:t>i=1</m:t>
            </m:r>
            <m:ctrlPr>
              <w:rPr>
                <w:rFonts w:ascii="Cambria Math" w:hAnsi="Cambria Math"/>
                <w:i/>
                <w:szCs w:val="21"/>
              </w:rPr>
            </m:ctrlPr>
          </m:sub>
          <m:sup>
            <m:r>
              <w:rPr>
                <w:rFonts w:ascii="Cambria Math" w:hAnsi="Cambria Math"/>
                <w:szCs w:val="21"/>
              </w:rPr>
              <m:t>t</m:t>
            </m:r>
            <m:ctrlPr>
              <w:rPr>
                <w:rFonts w:ascii="Cambria Math" w:hAnsi="Cambria Math"/>
                <w:i/>
                <w:szCs w:val="21"/>
              </w:rPr>
            </m:ctrlPr>
          </m:sup>
          <m:e>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ctrlPr>
                  <w:rPr>
                    <w:rFonts w:ascii="Cambria Math" w:hAnsi="Cambria Math"/>
                    <w:i/>
                    <w:szCs w:val="21"/>
                  </w:rPr>
                </m:ctrlPr>
              </m:num>
              <m:den>
                <m:sSup>
                  <m:sSupPr>
                    <m:ctrlPr>
                      <w:rPr>
                        <w:rFonts w:ascii="Cambria Math" w:hAnsi="Cambria Math"/>
                        <w:i/>
                        <w:szCs w:val="21"/>
                      </w:rPr>
                    </m:ctrlPr>
                  </m:sSupPr>
                  <m:e>
                    <m:d>
                      <m:dPr>
                        <m:ctrlPr>
                          <w:rPr>
                            <w:rFonts w:ascii="Cambria Math" w:hAnsi="Cambria Math"/>
                            <w:i/>
                            <w:szCs w:val="21"/>
                          </w:rPr>
                        </m:ctrlPr>
                      </m:dPr>
                      <m:e>
                        <m:r>
                          <w:rPr>
                            <w:rFonts w:ascii="Cambria Math" w:hAnsi="Cambria Math"/>
                            <w:szCs w:val="21"/>
                          </w:rPr>
                          <m:t>1+r</m:t>
                        </m:r>
                      </m:e>
                    </m:d>
                  </m:e>
                  <m:sup>
                    <m:r>
                      <w:rPr>
                        <w:rFonts w:ascii="Cambria Math" w:hAnsi="Cambria Math"/>
                        <w:szCs w:val="21"/>
                      </w:rPr>
                      <m:t>i</m:t>
                    </m:r>
                  </m:sup>
                </m:sSup>
                <m:ctrlPr>
                  <w:rPr>
                    <w:rFonts w:ascii="Cambria Math" w:hAnsi="Cambria Math"/>
                    <w:i/>
                    <w:szCs w:val="21"/>
                  </w:rPr>
                </m:ctrlPr>
              </m:den>
            </m:f>
            <m:ctrlPr>
              <w:rPr>
                <w:rFonts w:ascii="Cambria Math" w:hAnsi="Cambria Math"/>
                <w:i/>
                <w:szCs w:val="21"/>
              </w:rPr>
            </m:ctrlPr>
          </m:e>
        </m:nary>
      </m:oMath>
      <w:r>
        <w:rPr>
          <w:rFonts w:eastAsiaTheme="minorEastAsia"/>
          <w:szCs w:val="21"/>
        </w:rPr>
        <w:t>, kus</w:t>
      </w:r>
    </w:p>
    <w:p w14:paraId="275A83D1" w14:textId="77777777" w:rsidR="003D4B94" w:rsidRPr="003D4B94" w:rsidRDefault="003D4B94" w:rsidP="003D4B94">
      <w:pPr>
        <w:spacing w:after="0" w:line="240" w:lineRule="auto"/>
        <w:rPr>
          <w:szCs w:val="21"/>
        </w:rPr>
      </w:pPr>
      <w:r w:rsidRPr="003D4B94">
        <w:rPr>
          <w:szCs w:val="21"/>
        </w:rPr>
        <w:t>C</w:t>
      </w:r>
      <w:r w:rsidRPr="003D4B94">
        <w:rPr>
          <w:szCs w:val="21"/>
          <w:vertAlign w:val="subscript"/>
        </w:rPr>
        <w:t>0</w:t>
      </w:r>
      <w:r w:rsidRPr="003D4B94">
        <w:rPr>
          <w:szCs w:val="21"/>
        </w:rPr>
        <w:t xml:space="preserve"> – alginvesteering (väljamakse, negatiivne)</w:t>
      </w:r>
      <w:r>
        <w:rPr>
          <w:szCs w:val="21"/>
        </w:rPr>
        <w:t xml:space="preserve">; </w:t>
      </w:r>
    </w:p>
    <w:p w14:paraId="567FBDF8" w14:textId="77777777" w:rsidR="003D4B94" w:rsidRPr="003D4B94" w:rsidRDefault="003D4B94" w:rsidP="003D4B94">
      <w:pPr>
        <w:spacing w:after="0" w:line="240" w:lineRule="auto"/>
        <w:rPr>
          <w:szCs w:val="21"/>
        </w:rPr>
      </w:pPr>
      <w:proofErr w:type="spellStart"/>
      <w:r w:rsidRPr="003D4B94">
        <w:rPr>
          <w:szCs w:val="21"/>
        </w:rPr>
        <w:t>C</w:t>
      </w:r>
      <w:r w:rsidRPr="003D4B94">
        <w:rPr>
          <w:szCs w:val="21"/>
          <w:vertAlign w:val="subscript"/>
        </w:rPr>
        <w:t>i</w:t>
      </w:r>
      <w:proofErr w:type="spellEnd"/>
      <w:r w:rsidRPr="003D4B94">
        <w:rPr>
          <w:szCs w:val="21"/>
        </w:rPr>
        <w:t>– rahavoog perioodil</w:t>
      </w:r>
      <w:r>
        <w:rPr>
          <w:szCs w:val="21"/>
        </w:rPr>
        <w:t xml:space="preserve"> i;</w:t>
      </w:r>
    </w:p>
    <w:p w14:paraId="7DA7B326" w14:textId="77777777" w:rsidR="003D4B94" w:rsidRPr="003D4B94" w:rsidRDefault="003D4B94" w:rsidP="003D4B94">
      <w:pPr>
        <w:spacing w:after="0" w:line="240" w:lineRule="auto"/>
        <w:rPr>
          <w:szCs w:val="21"/>
        </w:rPr>
      </w:pPr>
      <w:r w:rsidRPr="003D4B94">
        <w:rPr>
          <w:szCs w:val="21"/>
        </w:rPr>
        <w:t>r – diskontomäär</w:t>
      </w:r>
    </w:p>
    <w:p w14:paraId="2590B3C4" w14:textId="77777777" w:rsidR="003D4B94" w:rsidRPr="003D4B94" w:rsidRDefault="003D4B94" w:rsidP="003D4B94">
      <w:pPr>
        <w:spacing w:after="0" w:line="240" w:lineRule="auto"/>
        <w:rPr>
          <w:szCs w:val="21"/>
        </w:rPr>
      </w:pPr>
      <w:r w:rsidRPr="003D4B94">
        <w:rPr>
          <w:szCs w:val="21"/>
        </w:rPr>
        <w:lastRenderedPageBreak/>
        <w:t xml:space="preserve"> t – perioodide koguarv</w:t>
      </w:r>
    </w:p>
    <w:p w14:paraId="3B4D1C87" w14:textId="77777777" w:rsidR="003D4B94" w:rsidRDefault="003D4B94" w:rsidP="00334024">
      <w:pPr>
        <w:rPr>
          <w:b/>
          <w:bCs/>
          <w:szCs w:val="21"/>
        </w:rPr>
      </w:pPr>
    </w:p>
    <w:p w14:paraId="184C34F9" w14:textId="6DFE22B5" w:rsidR="00EA3466" w:rsidRPr="00D43385" w:rsidRDefault="00EA3466" w:rsidP="00EA3466">
      <w:pPr>
        <w:rPr>
          <w:szCs w:val="21"/>
        </w:rPr>
      </w:pPr>
      <w:r>
        <w:t>Rahavoogude prognoos teostati perioodi 2026–203</w:t>
      </w:r>
      <w:r w:rsidR="001C658B">
        <w:t>1</w:t>
      </w:r>
      <w:r>
        <w:t xml:space="preserve"> kohta, milles 2026 käsitletakse lähteperioodina ning korduskasutusnõude rakendumist modelleeriti alates 2027. aastast. </w:t>
      </w:r>
      <w:r w:rsidR="005212CA" w:rsidRPr="00C95DF4">
        <w:rPr>
          <w:b/>
          <w:bCs/>
          <w:szCs w:val="21"/>
        </w:rPr>
        <w:t>Prognoositava aasta (nt 203</w:t>
      </w:r>
      <w:r w:rsidR="001C658B">
        <w:rPr>
          <w:b/>
          <w:bCs/>
          <w:szCs w:val="21"/>
        </w:rPr>
        <w:t>1</w:t>
      </w:r>
      <w:r w:rsidR="005212CA" w:rsidRPr="00C95DF4">
        <w:rPr>
          <w:b/>
          <w:bCs/>
          <w:szCs w:val="21"/>
        </w:rPr>
        <w:t xml:space="preserve">) </w:t>
      </w:r>
      <w:r w:rsidR="005212CA">
        <w:rPr>
          <w:b/>
          <w:bCs/>
          <w:szCs w:val="21"/>
        </w:rPr>
        <w:t>kulunäitaja</w:t>
      </w:r>
      <w:r w:rsidR="005212CA" w:rsidRPr="00C95DF4">
        <w:rPr>
          <w:b/>
          <w:bCs/>
          <w:szCs w:val="21"/>
        </w:rPr>
        <w:t xml:space="preserve"> väärtus saad</w:t>
      </w:r>
      <w:r w:rsidR="005212CA">
        <w:rPr>
          <w:b/>
          <w:bCs/>
          <w:szCs w:val="21"/>
        </w:rPr>
        <w:t>i</w:t>
      </w:r>
      <w:r w:rsidR="005212CA" w:rsidRPr="00C95DF4">
        <w:rPr>
          <w:b/>
          <w:bCs/>
          <w:szCs w:val="21"/>
        </w:rPr>
        <w:t xml:space="preserve"> olemasoleva näitaja </w:t>
      </w:r>
      <w:r w:rsidR="005212CA">
        <w:rPr>
          <w:b/>
          <w:bCs/>
          <w:szCs w:val="21"/>
        </w:rPr>
        <w:t>indekseerimisel</w:t>
      </w:r>
      <w:r w:rsidR="005212CA" w:rsidRPr="00C95DF4">
        <w:rPr>
          <w:b/>
          <w:bCs/>
          <w:szCs w:val="21"/>
        </w:rPr>
        <w:t xml:space="preserve"> </w:t>
      </w:r>
      <w:r w:rsidR="00ED353D" w:rsidRPr="00ED353D">
        <w:rPr>
          <w:b/>
          <w:bCs/>
          <w:szCs w:val="21"/>
        </w:rPr>
        <w:t>THI prognoosiga</w:t>
      </w:r>
      <w:r w:rsidR="00216328">
        <w:rPr>
          <w:rStyle w:val="Allmrkuseviide"/>
          <w:b/>
          <w:bCs/>
          <w:szCs w:val="21"/>
        </w:rPr>
        <w:footnoteReference w:id="1"/>
      </w:r>
      <w:r w:rsidR="005212CA" w:rsidRPr="00C95DF4">
        <w:rPr>
          <w:b/>
          <w:bCs/>
          <w:szCs w:val="21"/>
        </w:rPr>
        <w:t>.</w:t>
      </w:r>
      <w:r w:rsidR="005212CA" w:rsidRPr="00C95DF4">
        <w:rPr>
          <w:szCs w:val="21"/>
        </w:rPr>
        <w:t> Kasvuindeks arvutatakse Rahandusministeeriumi pikaajali</w:t>
      </w:r>
      <w:r w:rsidR="005212CA">
        <w:rPr>
          <w:szCs w:val="21"/>
        </w:rPr>
        <w:t>s</w:t>
      </w:r>
      <w:r w:rsidR="005212CA" w:rsidRPr="00C95DF4">
        <w:rPr>
          <w:szCs w:val="21"/>
        </w:rPr>
        <w:t>e majandusprognoosi põhjal.</w:t>
      </w:r>
    </w:p>
    <w:p w14:paraId="3E98E456" w14:textId="77777777" w:rsidR="00EA3466" w:rsidRDefault="00EA3466" w:rsidP="00EA3466">
      <w:r>
        <w:t>Diskonteerimine võimaldab võrrelda eri aastatel tekkivaid kulusid ja tulusid ühes väärtusskaalas. Baasarvutuses kasutati diskontomäära r=8%, mis peegeldab ettevõttepõhist kapitalikulu ja investeerimisotsuste praktikat. Diskontomäära mõju hinnatakse eraldi tundlikkuse analüüsis.</w:t>
      </w:r>
    </w:p>
    <w:p w14:paraId="0A7C93B5" w14:textId="2DDCC8F6" w:rsidR="00A656C0" w:rsidRDefault="005212CA" w:rsidP="00334024">
      <w:r>
        <w:t>Rahavoogude ülesehitus põhines baasstsenaariumi (BAU</w:t>
      </w:r>
      <w:r w:rsidR="00ED353D">
        <w:t xml:space="preserve">) </w:t>
      </w:r>
      <w:r>
        <w:t xml:space="preserve">ja sekkumisstsenaariumite (II–IV) võrdlusel, kus arvesse võeti üksnes sekkumisest tulenevad lisakulud ja välditavad kulud võrreldes </w:t>
      </w:r>
      <w:proofErr w:type="spellStart"/>
      <w:r>
        <w:t>BAU-ga</w:t>
      </w:r>
      <w:proofErr w:type="spellEnd"/>
      <w:r>
        <w:t>, mis võimaldab hinnata korduskasutusnõude rakendamise netomõju.</w:t>
      </w:r>
      <w:r w:rsidR="00216328">
        <w:t xml:space="preserve"> </w:t>
      </w:r>
    </w:p>
    <w:p w14:paraId="683B3FC6" w14:textId="77777777" w:rsidR="005212CA" w:rsidRDefault="005212CA" w:rsidP="00334024">
      <w:r>
        <w:t>Rahavoogude struktuur (tulude ja kulude klassifikatsioon ning CAPEX/OPEX jaotus) on Teenus1, Teenus2 ja Teenus3 vaates identne; erinevused tulenevad üksnes teenusepakkujate/ettevõtete mahunäitajatest, hinnatasemetest jms. Rahavood koondati aastapõhiselt ning hindamishorisondi lõikes diskonteeriti.</w:t>
      </w:r>
    </w:p>
    <w:p w14:paraId="440A7189" w14:textId="77777777" w:rsidR="007E6AF6" w:rsidRDefault="003A56A5" w:rsidP="003A56A5">
      <w:r>
        <w:t>Andmete sisestamisel lähtuti Exceli rahavoogude lehel kasutatud kulukomponentide loetelust, mis on kooskõlas korduskasutussüsteemide majandusanalüüsides tavapärase kulustruktuuriga</w:t>
      </w:r>
      <w:r w:rsidR="007E6AF6">
        <w:t xml:space="preserve"> </w:t>
      </w:r>
      <w:r w:rsidR="007E6AF6">
        <w:rPr>
          <w:rStyle w:val="Allmrkuseviide"/>
        </w:rPr>
        <w:footnoteReference w:id="2"/>
      </w:r>
      <w:r w:rsidR="007E6AF6">
        <w:t xml:space="preserve"> </w:t>
      </w:r>
      <w:r w:rsidR="007E6AF6">
        <w:rPr>
          <w:rStyle w:val="Allmrkuseviide"/>
        </w:rPr>
        <w:footnoteReference w:id="3"/>
      </w:r>
      <w:r w:rsidR="007E6AF6">
        <w:t xml:space="preserve"> </w:t>
      </w:r>
      <w:r>
        <w:t>nt</w:t>
      </w:r>
      <w:r w:rsidR="007E6AF6">
        <w:t>:</w:t>
      </w:r>
    </w:p>
    <w:p w14:paraId="5FB2701B" w14:textId="77777777" w:rsidR="00A02B4C" w:rsidRDefault="007E6AF6" w:rsidP="007E6AF6">
      <w:pPr>
        <w:pStyle w:val="Loendilik"/>
        <w:numPr>
          <w:ilvl w:val="0"/>
          <w:numId w:val="49"/>
        </w:numPr>
      </w:pPr>
      <w:r>
        <w:t>pakendite maksumus (ühekordsed, korduskasutatavad);</w:t>
      </w:r>
    </w:p>
    <w:p w14:paraId="5B83A5C1" w14:textId="77777777" w:rsidR="007E6AF6" w:rsidRDefault="007E6AF6" w:rsidP="007E6AF6">
      <w:pPr>
        <w:pStyle w:val="Loendilik"/>
        <w:numPr>
          <w:ilvl w:val="0"/>
          <w:numId w:val="49"/>
        </w:numPr>
      </w:pPr>
      <w:r>
        <w:t>ladustamise kulud;</w:t>
      </w:r>
    </w:p>
    <w:p w14:paraId="647AD72B" w14:textId="77777777" w:rsidR="007E6AF6" w:rsidRDefault="007E6AF6" w:rsidP="007E6AF6">
      <w:pPr>
        <w:pStyle w:val="Loendilik"/>
        <w:numPr>
          <w:ilvl w:val="0"/>
          <w:numId w:val="49"/>
        </w:numPr>
      </w:pPr>
      <w:r>
        <w:t>tööjõukulud;</w:t>
      </w:r>
    </w:p>
    <w:p w14:paraId="579D88B4" w14:textId="77777777" w:rsidR="007E6AF6" w:rsidRDefault="007E6AF6" w:rsidP="007E6AF6">
      <w:pPr>
        <w:pStyle w:val="Loendilik"/>
        <w:numPr>
          <w:ilvl w:val="0"/>
          <w:numId w:val="49"/>
        </w:numPr>
      </w:pPr>
      <w:r>
        <w:t>jäätmekorraldus ja tootjavastutusega seonduv kulu;</w:t>
      </w:r>
    </w:p>
    <w:p w14:paraId="51923370" w14:textId="77777777" w:rsidR="007E6AF6" w:rsidRDefault="007E6AF6" w:rsidP="007E6AF6">
      <w:pPr>
        <w:pStyle w:val="Loendilik"/>
        <w:numPr>
          <w:ilvl w:val="0"/>
          <w:numId w:val="49"/>
        </w:numPr>
      </w:pPr>
      <w:r>
        <w:t>alginvesteeringu maksumus lähtuvalt stsenaariumist;</w:t>
      </w:r>
    </w:p>
    <w:p w14:paraId="1A4CBDC5" w14:textId="534A8E97" w:rsidR="00027943" w:rsidRDefault="007E6AF6" w:rsidP="00027943">
      <w:pPr>
        <w:pStyle w:val="Loendilik"/>
        <w:numPr>
          <w:ilvl w:val="0"/>
          <w:numId w:val="49"/>
        </w:numPr>
      </w:pPr>
      <w:r>
        <w:t>jooksvad kulud sekkumisstsenaariumite korral (pesu, kogumine/haldus, tööjõud, pakendite asenduskulu, kadu, jäätmed jne)</w:t>
      </w:r>
      <w:r w:rsidR="003A48D3">
        <w:t>.</w:t>
      </w:r>
    </w:p>
    <w:p w14:paraId="14CF93A5" w14:textId="3F5F4083" w:rsidR="0048179F" w:rsidRDefault="00F15CD3" w:rsidP="00A02B4C">
      <w:r w:rsidRPr="00F15CD3">
        <w:t>Rahavood ja võrreldavad ühikukulud (</w:t>
      </w:r>
      <w:r w:rsidR="000C129F">
        <w:t>eurot</w:t>
      </w:r>
      <w:r w:rsidRPr="00F15CD3">
        <w:t>/kasutuskord) on tuletatud tabelis</w:t>
      </w:r>
      <w:r>
        <w:t xml:space="preserve"> 2 </w:t>
      </w:r>
      <w:r w:rsidRPr="00F15CD3">
        <w:t>toodud baaseeldustest, kus metoodilised parameetrid on teenuste lõikes ühtsed ja mahupõhised sisendid teenusepõhised. NPV (</w:t>
      </w:r>
      <w:proofErr w:type="spellStart"/>
      <w:r w:rsidRPr="00F15CD3">
        <w:t>netonüüdisväärtus</w:t>
      </w:r>
      <w:proofErr w:type="spellEnd"/>
      <w:r w:rsidRPr="00F15CD3">
        <w:t xml:space="preserve">) arvutatakse kõigi teenuste puhul diskontomääraga r = 8%, et võrrelda prognoosiperioodi rahavoogusid ühises </w:t>
      </w:r>
      <w:proofErr w:type="spellStart"/>
      <w:r w:rsidRPr="00F15CD3">
        <w:t>nüüdisväärtuses</w:t>
      </w:r>
      <w:proofErr w:type="spellEnd"/>
      <w:r w:rsidRPr="00F15CD3">
        <w:t xml:space="preserve">. BAU ühikukulu koosneb ühekordsete nõude/pakendite ostust, jäätmekäitlusest ja tootjavastutusest ning baashinnad on 0,09 </w:t>
      </w:r>
      <w:r w:rsidR="005278E4">
        <w:t>eurot</w:t>
      </w:r>
      <w:r w:rsidRPr="00F15CD3">
        <w:t xml:space="preserve">/pakend (Teenus1) ja 0,05 </w:t>
      </w:r>
      <w:r w:rsidR="005278E4">
        <w:t>eurot</w:t>
      </w:r>
      <w:r w:rsidRPr="00F15CD3">
        <w:t xml:space="preserve">/pakend (Teenus2–3). </w:t>
      </w:r>
      <w:r w:rsidR="00F214CD">
        <w:t>T</w:t>
      </w:r>
      <w:r w:rsidR="00F214CD" w:rsidRPr="00F214CD">
        <w:t>eenuste aastane maht, mõõdetuna kasutuskordade arvuna, on ligikaudu 1,5 m</w:t>
      </w:r>
      <w:r w:rsidR="00E9573F">
        <w:t>ln</w:t>
      </w:r>
      <w:r w:rsidR="00F214CD" w:rsidRPr="00F214CD">
        <w:t xml:space="preserve"> Teenus1, 3,0 m</w:t>
      </w:r>
      <w:r w:rsidR="00E9573F">
        <w:t>ln</w:t>
      </w:r>
      <w:r w:rsidR="00F214CD" w:rsidRPr="00F214CD">
        <w:t xml:space="preserve"> Teenus2 ja 0,6 m</w:t>
      </w:r>
      <w:r w:rsidR="00E9573F">
        <w:t>ln</w:t>
      </w:r>
      <w:r w:rsidR="00F214CD" w:rsidRPr="00F214CD">
        <w:t xml:space="preserve"> Teenus3 puhul. Mahuerinevused mõjutavad püsikulude jaotumist kasutuskordade lõikes ning ühikukulu kujunemist, sealhulgas mastaabiefekti avaldumist</w:t>
      </w:r>
      <w:r w:rsidRPr="00F15CD3">
        <w:t xml:space="preserve">. </w:t>
      </w:r>
      <w:r w:rsidR="0048179F">
        <w:t>(Tabel 2)</w:t>
      </w:r>
    </w:p>
    <w:p w14:paraId="10BBD8BD" w14:textId="40E08741" w:rsidR="00027943" w:rsidRDefault="00F15CD3" w:rsidP="00A02B4C">
      <w:r w:rsidRPr="00F15CD3">
        <w:t xml:space="preserve">Korduskasutussüsteemi toimimiseks arvestatakse </w:t>
      </w:r>
      <w:r w:rsidR="009B0611">
        <w:t xml:space="preserve">algvaru </w:t>
      </w:r>
      <w:r w:rsidR="0048179F">
        <w:t>(CAPEX) puhul II stsenaariumis 1,5 päeva varupoliitikaga ning III stsenaariumi 1,5 nädala varupoliitikaga. Arvestatud on varupoliitika kujundamisel ettevõtete esindajate sisendit. Algvaru alginvesteeringu puhul</w:t>
      </w:r>
      <w:r w:rsidRPr="00F15CD3">
        <w:t xml:space="preserve"> mõjutab otseselt alginvesteeringut (CAPEX). </w:t>
      </w:r>
      <w:r w:rsidR="0048179F">
        <w:t xml:space="preserve">II ja </w:t>
      </w:r>
      <w:r w:rsidRPr="00F15CD3">
        <w:t xml:space="preserve">III stsenaariumi kadu/purunemise asendus </w:t>
      </w:r>
      <w:r w:rsidR="0048179F">
        <w:t xml:space="preserve">on </w:t>
      </w:r>
      <w:r w:rsidRPr="00F15CD3">
        <w:t>10%, mis määravad asendusvajaduse ning mõjuta</w:t>
      </w:r>
      <w:r w:rsidR="0048179F">
        <w:t xml:space="preserve">b </w:t>
      </w:r>
      <w:r w:rsidRPr="00F15CD3">
        <w:t>OPEX-</w:t>
      </w:r>
      <w:proofErr w:type="spellStart"/>
      <w:r w:rsidRPr="00F15CD3">
        <w:t>i</w:t>
      </w:r>
      <w:r w:rsidR="0048179F">
        <w:t>t</w:t>
      </w:r>
      <w:proofErr w:type="spellEnd"/>
      <w:r w:rsidRPr="00F15CD3">
        <w:t xml:space="preserve">. </w:t>
      </w:r>
      <w:r w:rsidR="00F000CA" w:rsidRPr="00F000CA">
        <w:t xml:space="preserve">IV stsenaariumi täisteenuse hind on käsitletud ühikuhinna vahemikuna, mille ülemiseks piiriks on 0,28 eurot kasutuskorra kohta ja alumiseks piiriks 0,15 eurot </w:t>
      </w:r>
      <w:r w:rsidR="00F000CA" w:rsidRPr="00F000CA">
        <w:lastRenderedPageBreak/>
        <w:t>kasutuskorra kohta. Anal</w:t>
      </w:r>
      <w:r w:rsidR="003E42D7">
        <w:t>ü</w:t>
      </w:r>
      <w:r w:rsidR="00F000CA" w:rsidRPr="00F000CA">
        <w:t>üsis kajastatakse täisteenuse maksumust ühikuhinnana, mis teisendatakse vastava kasutuskordade mahu alusel aastaseks tegevuskuluks (OPEX).</w:t>
      </w:r>
      <w:r w:rsidR="00F000CA">
        <w:t xml:space="preserve"> </w:t>
      </w:r>
      <w:r w:rsidRPr="00F15CD3">
        <w:t>Peamised riskikohad on teenuse maht, varu/tsükkel, eluiga ja kadu/purunemine ning IV teenusehind, kuna nende muutus mõjutab otseselt ühikukulu ja kumulatiivselt NPV-</w:t>
      </w:r>
      <w:proofErr w:type="spellStart"/>
      <w:r w:rsidRPr="00F15CD3">
        <w:t>d.</w:t>
      </w:r>
      <w:proofErr w:type="spellEnd"/>
      <w:r w:rsidRPr="00F15CD3">
        <w:t xml:space="preserve"> Läbipaistvuse tagamiseks on need parameetrid esitatud nii aluseelduste tabelis kui ka täielikus eelduste registris.</w:t>
      </w:r>
      <w:r w:rsidR="00281174">
        <w:t xml:space="preserve"> (Tabel 2)</w:t>
      </w:r>
    </w:p>
    <w:p w14:paraId="31107E1E" w14:textId="6E1E9810" w:rsidR="001C658B" w:rsidRDefault="00F15CD3" w:rsidP="00F15CD3">
      <w:pPr>
        <w:pStyle w:val="Vahedeta"/>
      </w:pPr>
      <w:r w:rsidRPr="00F15CD3">
        <w:rPr>
          <w:b/>
          <w:bCs/>
        </w:rPr>
        <w:t>Tabel</w:t>
      </w:r>
      <w:r w:rsidR="00ED353D">
        <w:rPr>
          <w:b/>
          <w:bCs/>
        </w:rPr>
        <w:t xml:space="preserve"> </w:t>
      </w:r>
      <w:r w:rsidRPr="00F15CD3">
        <w:rPr>
          <w:b/>
          <w:bCs/>
        </w:rPr>
        <w:t>2.</w:t>
      </w:r>
      <w:r>
        <w:t xml:space="preserve"> </w:t>
      </w:r>
      <w:r w:rsidR="00B74C43" w:rsidRPr="00B74C43">
        <w:t>Baaseeldused</w:t>
      </w:r>
      <w:r w:rsidR="00C43ADB">
        <w:t xml:space="preserve"> ja</w:t>
      </w:r>
      <w:r w:rsidR="00B74C43" w:rsidRPr="00B74C43">
        <w:t xml:space="preserve"> </w:t>
      </w:r>
      <w:r w:rsidR="00FE5DB7" w:rsidRPr="00FE5DB7">
        <w:t>normatiivsed hinnaparameetrid stsenaariumiarvutustes</w:t>
      </w:r>
      <w:r w:rsidR="00FE5DB7">
        <w:t xml:space="preserve"> </w:t>
      </w:r>
      <w:r w:rsidR="00B74C43" w:rsidRPr="00B74C43">
        <w:t>teenuste lõikes</w:t>
      </w:r>
    </w:p>
    <w:tbl>
      <w:tblPr>
        <w:tblStyle w:val="Tabelilaad"/>
        <w:tblW w:w="5000" w:type="pct"/>
        <w:tblLayout w:type="fixed"/>
        <w:tblLook w:val="04A0" w:firstRow="1" w:lastRow="0" w:firstColumn="1" w:lastColumn="0" w:noHBand="0" w:noVBand="1"/>
      </w:tblPr>
      <w:tblGrid>
        <w:gridCol w:w="3827"/>
        <w:gridCol w:w="1843"/>
        <w:gridCol w:w="1843"/>
        <w:gridCol w:w="1841"/>
      </w:tblGrid>
      <w:tr w:rsidR="000C39E4" w14:paraId="33875176" w14:textId="77777777" w:rsidTr="00FE5DB7">
        <w:trPr>
          <w:cnfStyle w:val="100000000000" w:firstRow="1" w:lastRow="0" w:firstColumn="0" w:lastColumn="0" w:oddVBand="0" w:evenVBand="0" w:oddHBand="0" w:evenHBand="0" w:firstRowFirstColumn="0" w:firstRowLastColumn="0" w:lastRowFirstColumn="0" w:lastRowLastColumn="0"/>
        </w:trPr>
        <w:tc>
          <w:tcPr>
            <w:tcW w:w="2046" w:type="pct"/>
          </w:tcPr>
          <w:p w14:paraId="1DA6A538" w14:textId="33CE2D36" w:rsidR="000C39E4" w:rsidRDefault="000C39E4" w:rsidP="004B6341">
            <w:r>
              <w:t>Baaseeldus</w:t>
            </w:r>
          </w:p>
        </w:tc>
        <w:tc>
          <w:tcPr>
            <w:tcW w:w="985" w:type="pct"/>
          </w:tcPr>
          <w:p w14:paraId="1D1D2419" w14:textId="77B561D0" w:rsidR="000C39E4" w:rsidRPr="00F15CD3" w:rsidRDefault="000C39E4" w:rsidP="004B6341">
            <w:pPr>
              <w:rPr>
                <w:bCs/>
              </w:rPr>
            </w:pPr>
            <w:r w:rsidRPr="00F15CD3">
              <w:rPr>
                <w:bCs/>
              </w:rPr>
              <w:t xml:space="preserve">Teenus1 </w:t>
            </w:r>
          </w:p>
        </w:tc>
        <w:tc>
          <w:tcPr>
            <w:tcW w:w="985" w:type="pct"/>
          </w:tcPr>
          <w:p w14:paraId="07D6F44A" w14:textId="235917ED" w:rsidR="000C39E4" w:rsidRPr="00F15CD3" w:rsidRDefault="000C39E4" w:rsidP="004B6341">
            <w:pPr>
              <w:rPr>
                <w:bCs/>
              </w:rPr>
            </w:pPr>
            <w:r w:rsidRPr="00F15CD3">
              <w:rPr>
                <w:bCs/>
              </w:rPr>
              <w:t>Teenus2</w:t>
            </w:r>
          </w:p>
        </w:tc>
        <w:tc>
          <w:tcPr>
            <w:tcW w:w="984" w:type="pct"/>
          </w:tcPr>
          <w:p w14:paraId="53D79B9E" w14:textId="6451A0CE" w:rsidR="000C39E4" w:rsidRPr="00F15CD3" w:rsidRDefault="000C39E4" w:rsidP="004B6341">
            <w:pPr>
              <w:rPr>
                <w:bCs/>
              </w:rPr>
            </w:pPr>
            <w:r w:rsidRPr="00F15CD3">
              <w:rPr>
                <w:bCs/>
              </w:rPr>
              <w:t>Teenus3</w:t>
            </w:r>
          </w:p>
        </w:tc>
      </w:tr>
      <w:tr w:rsidR="000C39E4" w14:paraId="0E85FC5E" w14:textId="77777777" w:rsidTr="00FE5DB7">
        <w:tc>
          <w:tcPr>
            <w:tcW w:w="2046" w:type="pct"/>
          </w:tcPr>
          <w:p w14:paraId="694CF1A8" w14:textId="2EEBBAEF" w:rsidR="000C39E4" w:rsidRPr="00611DB7" w:rsidRDefault="000C39E4" w:rsidP="000C39E4">
            <w:pPr>
              <w:jc w:val="left"/>
              <w:rPr>
                <w:szCs w:val="21"/>
              </w:rPr>
            </w:pPr>
            <w:r w:rsidRPr="00611DB7">
              <w:rPr>
                <w:color w:val="000000"/>
                <w:szCs w:val="21"/>
              </w:rPr>
              <w:t>Ühekord</w:t>
            </w:r>
            <w:r w:rsidR="00C87A18" w:rsidRPr="00611DB7">
              <w:rPr>
                <w:color w:val="000000"/>
                <w:szCs w:val="21"/>
              </w:rPr>
              <w:t>se</w:t>
            </w:r>
            <w:r w:rsidRPr="00611DB7">
              <w:rPr>
                <w:color w:val="000000"/>
                <w:szCs w:val="21"/>
              </w:rPr>
              <w:t xml:space="preserve"> pakend</w:t>
            </w:r>
            <w:r w:rsidR="00C87A18" w:rsidRPr="00611DB7">
              <w:rPr>
                <w:color w:val="000000"/>
                <w:szCs w:val="21"/>
              </w:rPr>
              <w:t>i ühikukulu</w:t>
            </w:r>
            <w:r w:rsidRPr="00611DB7">
              <w:rPr>
                <w:color w:val="000000"/>
                <w:szCs w:val="21"/>
              </w:rPr>
              <w:t>, eur</w:t>
            </w:r>
            <w:r w:rsidR="00611DB7" w:rsidRPr="00611DB7">
              <w:rPr>
                <w:color w:val="000000"/>
                <w:szCs w:val="21"/>
              </w:rPr>
              <w:t>ot</w:t>
            </w:r>
            <w:r w:rsidRPr="00611DB7">
              <w:rPr>
                <w:color w:val="000000"/>
                <w:szCs w:val="21"/>
              </w:rPr>
              <w:t>/pakend</w:t>
            </w:r>
          </w:p>
        </w:tc>
        <w:tc>
          <w:tcPr>
            <w:tcW w:w="985" w:type="pct"/>
          </w:tcPr>
          <w:p w14:paraId="47DFB969" w14:textId="36370E06" w:rsidR="000C39E4" w:rsidRPr="00F26607" w:rsidRDefault="000C39E4" w:rsidP="004B6341">
            <w:r w:rsidRPr="00F26607">
              <w:t>0,09</w:t>
            </w:r>
          </w:p>
        </w:tc>
        <w:tc>
          <w:tcPr>
            <w:tcW w:w="985" w:type="pct"/>
          </w:tcPr>
          <w:p w14:paraId="60C70F8A" w14:textId="3C87B0C7" w:rsidR="000C39E4" w:rsidRPr="00F26607" w:rsidRDefault="000C39E4" w:rsidP="004B6341">
            <w:r w:rsidRPr="00F26607">
              <w:t>0,05</w:t>
            </w:r>
          </w:p>
        </w:tc>
        <w:tc>
          <w:tcPr>
            <w:tcW w:w="984" w:type="pct"/>
          </w:tcPr>
          <w:p w14:paraId="09A9B902" w14:textId="7D04A7F9" w:rsidR="000C39E4" w:rsidRPr="00F26607" w:rsidRDefault="000C39E4" w:rsidP="004B6341">
            <w:r w:rsidRPr="00F26607">
              <w:t>0,05</w:t>
            </w:r>
          </w:p>
        </w:tc>
      </w:tr>
      <w:tr w:rsidR="000C39E4" w14:paraId="13B8284D" w14:textId="77777777" w:rsidTr="00FE5DB7">
        <w:tc>
          <w:tcPr>
            <w:tcW w:w="2046" w:type="pct"/>
          </w:tcPr>
          <w:p w14:paraId="452F625D" w14:textId="5561789B" w:rsidR="000C39E4" w:rsidRPr="00F15CD3" w:rsidRDefault="000C39E4" w:rsidP="000C39E4">
            <w:pPr>
              <w:jc w:val="left"/>
            </w:pPr>
            <w:r w:rsidRPr="00F15CD3">
              <w:t>Diskontomäär</w:t>
            </w:r>
            <w:r w:rsidR="00C87A18">
              <w:t>, r</w:t>
            </w:r>
          </w:p>
        </w:tc>
        <w:tc>
          <w:tcPr>
            <w:tcW w:w="985" w:type="pct"/>
          </w:tcPr>
          <w:p w14:paraId="45DD56D0" w14:textId="220A1C3D" w:rsidR="000C39E4" w:rsidRPr="00F15CD3" w:rsidRDefault="000C39E4" w:rsidP="004B6341">
            <w:r w:rsidRPr="00F15CD3">
              <w:t xml:space="preserve">8% </w:t>
            </w:r>
          </w:p>
        </w:tc>
        <w:tc>
          <w:tcPr>
            <w:tcW w:w="985" w:type="pct"/>
          </w:tcPr>
          <w:p w14:paraId="17CD05D5" w14:textId="6A425DBC" w:rsidR="000C39E4" w:rsidRPr="00F15CD3" w:rsidRDefault="000C39E4" w:rsidP="004B6341">
            <w:r w:rsidRPr="00F15CD3">
              <w:t>8%</w:t>
            </w:r>
          </w:p>
        </w:tc>
        <w:tc>
          <w:tcPr>
            <w:tcW w:w="984" w:type="pct"/>
          </w:tcPr>
          <w:p w14:paraId="49488AAE" w14:textId="0F12D79B" w:rsidR="000C39E4" w:rsidRPr="00F15CD3" w:rsidRDefault="000C39E4" w:rsidP="004B6341">
            <w:r w:rsidRPr="00F15CD3">
              <w:t>8%</w:t>
            </w:r>
          </w:p>
        </w:tc>
      </w:tr>
      <w:tr w:rsidR="0048179F" w14:paraId="6886F9F8" w14:textId="77777777" w:rsidTr="00FE5DB7">
        <w:tc>
          <w:tcPr>
            <w:tcW w:w="2046" w:type="pct"/>
          </w:tcPr>
          <w:p w14:paraId="2C374FC1" w14:textId="0E0BA9EE" w:rsidR="0048179F" w:rsidRPr="00F15CD3" w:rsidRDefault="0048179F" w:rsidP="0048179F">
            <w:pPr>
              <w:jc w:val="left"/>
            </w:pPr>
            <w:r w:rsidRPr="00F15CD3">
              <w:t>BAU</w:t>
            </w:r>
            <w:r w:rsidR="00C87A18">
              <w:t xml:space="preserve">-stsenaariumi </w:t>
            </w:r>
            <w:r w:rsidRPr="00F15CD3">
              <w:t>ühikukulu</w:t>
            </w:r>
            <w:r w:rsidR="00C87A18">
              <w:t xml:space="preserve"> komponendid</w:t>
            </w:r>
          </w:p>
        </w:tc>
        <w:tc>
          <w:tcPr>
            <w:tcW w:w="985" w:type="pct"/>
          </w:tcPr>
          <w:p w14:paraId="60FB73A1" w14:textId="2037E310" w:rsidR="0048179F" w:rsidRPr="00F15CD3" w:rsidRDefault="0048179F" w:rsidP="0048179F">
            <w:r w:rsidRPr="00F15CD3">
              <w:t>Ühekordsete nõude ost + jäätmekäitlus + tootjavastutus</w:t>
            </w:r>
          </w:p>
        </w:tc>
        <w:tc>
          <w:tcPr>
            <w:tcW w:w="985" w:type="pct"/>
          </w:tcPr>
          <w:p w14:paraId="298FE37F" w14:textId="1B0EB2E8" w:rsidR="0048179F" w:rsidRPr="00F15CD3" w:rsidRDefault="0048179F" w:rsidP="0048179F">
            <w:r w:rsidRPr="00F15CD3">
              <w:t>Ühekordsete nõude ost + jäätmekäitlus + tootjavastutus</w:t>
            </w:r>
          </w:p>
        </w:tc>
        <w:tc>
          <w:tcPr>
            <w:tcW w:w="984" w:type="pct"/>
          </w:tcPr>
          <w:p w14:paraId="10174A38" w14:textId="1DF23CCF" w:rsidR="0048179F" w:rsidRPr="00F15CD3" w:rsidRDefault="0048179F" w:rsidP="0048179F">
            <w:r w:rsidRPr="00F15CD3">
              <w:t>Ühekordsete nõude ost + jäätmekäitlus + tootjavastutus</w:t>
            </w:r>
          </w:p>
        </w:tc>
      </w:tr>
      <w:tr w:rsidR="006323EA" w14:paraId="2F5B7D8C" w14:textId="77777777" w:rsidTr="00FE5DB7">
        <w:tc>
          <w:tcPr>
            <w:tcW w:w="2046" w:type="pct"/>
          </w:tcPr>
          <w:p w14:paraId="1AB19C5A" w14:textId="2F6E89D2" w:rsidR="006323EA" w:rsidRPr="00F15CD3" w:rsidRDefault="00C87A18" w:rsidP="0048179F">
            <w:pPr>
              <w:jc w:val="left"/>
            </w:pPr>
            <w:r>
              <w:t>B</w:t>
            </w:r>
            <w:r w:rsidRPr="00C87A18">
              <w:t>AU‑stsenaariumi jäätmekäitluskulu korrigeerimiskoefitsient (põletustasu), k</w:t>
            </w:r>
            <w:r w:rsidR="006323EA">
              <w:rPr>
                <w:rStyle w:val="Allmrkuseviide"/>
              </w:rPr>
              <w:footnoteReference w:id="4"/>
            </w:r>
          </w:p>
        </w:tc>
        <w:tc>
          <w:tcPr>
            <w:tcW w:w="985" w:type="pct"/>
          </w:tcPr>
          <w:p w14:paraId="2AC7E3F7" w14:textId="3E667262" w:rsidR="006323EA" w:rsidRPr="00F15CD3" w:rsidRDefault="006323EA" w:rsidP="0048179F">
            <w:r>
              <w:t>1,4</w:t>
            </w:r>
          </w:p>
        </w:tc>
        <w:tc>
          <w:tcPr>
            <w:tcW w:w="985" w:type="pct"/>
          </w:tcPr>
          <w:p w14:paraId="51814835" w14:textId="66DAACDD" w:rsidR="006323EA" w:rsidRPr="00F15CD3" w:rsidRDefault="006323EA" w:rsidP="0048179F">
            <w:r>
              <w:t>1,4</w:t>
            </w:r>
          </w:p>
        </w:tc>
        <w:tc>
          <w:tcPr>
            <w:tcW w:w="984" w:type="pct"/>
          </w:tcPr>
          <w:p w14:paraId="67BBEC0C" w14:textId="59DCD8E0" w:rsidR="006323EA" w:rsidRPr="00F15CD3" w:rsidRDefault="006323EA" w:rsidP="0048179F">
            <w:r>
              <w:t>1,4</w:t>
            </w:r>
          </w:p>
        </w:tc>
      </w:tr>
      <w:tr w:rsidR="0048179F" w14:paraId="7CCA5390" w14:textId="77777777" w:rsidTr="00FE5DB7">
        <w:tc>
          <w:tcPr>
            <w:tcW w:w="2046" w:type="pct"/>
          </w:tcPr>
          <w:p w14:paraId="1AEEDF00" w14:textId="2154CB9E" w:rsidR="0048179F" w:rsidRPr="00F15CD3" w:rsidRDefault="00C87A18" w:rsidP="0048179F">
            <w:pPr>
              <w:jc w:val="left"/>
            </w:pPr>
            <w:r>
              <w:t>Pakendi k</w:t>
            </w:r>
            <w:r w:rsidRPr="00C87A18">
              <w:t>asutuskordade arv aastas, tk</w:t>
            </w:r>
          </w:p>
        </w:tc>
        <w:tc>
          <w:tcPr>
            <w:tcW w:w="985" w:type="pct"/>
          </w:tcPr>
          <w:p w14:paraId="58EDD259" w14:textId="1A0A4FDC" w:rsidR="0048179F" w:rsidRPr="00F15CD3" w:rsidRDefault="0048179F" w:rsidP="0048179F">
            <w:r w:rsidRPr="00F15CD3">
              <w:t>1 527 855</w:t>
            </w:r>
          </w:p>
        </w:tc>
        <w:tc>
          <w:tcPr>
            <w:tcW w:w="985" w:type="pct"/>
          </w:tcPr>
          <w:p w14:paraId="648ED30D" w14:textId="271D938B" w:rsidR="0048179F" w:rsidRPr="00F15CD3" w:rsidRDefault="0048179F" w:rsidP="0048179F">
            <w:r w:rsidRPr="00F15CD3">
              <w:t>3 049 200</w:t>
            </w:r>
          </w:p>
        </w:tc>
        <w:tc>
          <w:tcPr>
            <w:tcW w:w="984" w:type="pct"/>
          </w:tcPr>
          <w:p w14:paraId="4EF7A338" w14:textId="4C98522B" w:rsidR="0048179F" w:rsidRPr="00F15CD3" w:rsidRDefault="0048179F" w:rsidP="0048179F">
            <w:r w:rsidRPr="00F15CD3">
              <w:t>572 581</w:t>
            </w:r>
          </w:p>
        </w:tc>
      </w:tr>
      <w:tr w:rsidR="0048179F" w14:paraId="0FF4461B" w14:textId="77777777" w:rsidTr="00FE5DB7">
        <w:tc>
          <w:tcPr>
            <w:tcW w:w="2046" w:type="pct"/>
          </w:tcPr>
          <w:p w14:paraId="78F4B525" w14:textId="7C72DEC7" w:rsidR="0048179F" w:rsidRPr="00F15CD3" w:rsidRDefault="0048179F" w:rsidP="0048179F">
            <w:pPr>
              <w:jc w:val="left"/>
            </w:pPr>
            <w:r>
              <w:t>II stsenaarium</w:t>
            </w:r>
            <w:r w:rsidR="00C87A18">
              <w:t>:</w:t>
            </w:r>
            <w:r>
              <w:t xml:space="preserve"> korduspakendite alg</w:t>
            </w:r>
            <w:r w:rsidRPr="00F15CD3">
              <w:t>varu</w:t>
            </w:r>
            <w:r>
              <w:t xml:space="preserve"> </w:t>
            </w:r>
            <w:r w:rsidR="00C87A18">
              <w:t xml:space="preserve">maht </w:t>
            </w:r>
            <w:r>
              <w:t>(CAPEX)</w:t>
            </w:r>
            <w:r w:rsidRPr="00F15CD3">
              <w:t>, tk</w:t>
            </w:r>
          </w:p>
        </w:tc>
        <w:tc>
          <w:tcPr>
            <w:tcW w:w="985" w:type="pct"/>
          </w:tcPr>
          <w:p w14:paraId="5ED633C4" w14:textId="73E94B08" w:rsidR="0048179F" w:rsidRPr="00F15CD3" w:rsidRDefault="0048179F" w:rsidP="0048179F">
            <w:pPr>
              <w:jc w:val="left"/>
            </w:pPr>
            <w:r>
              <w:t>6 279</w:t>
            </w:r>
            <w:r w:rsidRPr="00F15CD3">
              <w:t xml:space="preserve"> </w:t>
            </w:r>
            <w:r w:rsidRPr="00F15CD3">
              <w:br/>
              <w:t xml:space="preserve">(1,5 </w:t>
            </w:r>
            <w:r>
              <w:t>päeva</w:t>
            </w:r>
            <w:r w:rsidRPr="00F15CD3">
              <w:t xml:space="preserve"> varu)</w:t>
            </w:r>
          </w:p>
        </w:tc>
        <w:tc>
          <w:tcPr>
            <w:tcW w:w="985" w:type="pct"/>
          </w:tcPr>
          <w:p w14:paraId="7921BA07" w14:textId="0C79C4A8" w:rsidR="0048179F" w:rsidRPr="00F15CD3" w:rsidRDefault="0048179F" w:rsidP="0048179F">
            <w:r w:rsidRPr="00F15CD3">
              <w:t>12 531</w:t>
            </w:r>
            <w:r w:rsidRPr="00F15CD3">
              <w:br/>
              <w:t>(1,5 päeva varu)</w:t>
            </w:r>
          </w:p>
        </w:tc>
        <w:tc>
          <w:tcPr>
            <w:tcW w:w="984" w:type="pct"/>
          </w:tcPr>
          <w:p w14:paraId="0B1E4E3B" w14:textId="46280B7F" w:rsidR="0048179F" w:rsidRPr="00F15CD3" w:rsidRDefault="0048179F" w:rsidP="0048179F">
            <w:r w:rsidRPr="00F15CD3">
              <w:t>2 353</w:t>
            </w:r>
            <w:r w:rsidRPr="00F15CD3">
              <w:br/>
              <w:t>(1,5 päeva varu)</w:t>
            </w:r>
          </w:p>
        </w:tc>
      </w:tr>
      <w:tr w:rsidR="0048179F" w14:paraId="1DD168F7" w14:textId="77777777" w:rsidTr="00FE5DB7">
        <w:tc>
          <w:tcPr>
            <w:tcW w:w="2046" w:type="pct"/>
          </w:tcPr>
          <w:p w14:paraId="501B95D6" w14:textId="553E10C8" w:rsidR="0048179F" w:rsidRDefault="0048179F" w:rsidP="0048179F">
            <w:pPr>
              <w:jc w:val="left"/>
            </w:pPr>
            <w:r>
              <w:t>III stsenaarium</w:t>
            </w:r>
            <w:r w:rsidR="00C87A18">
              <w:t>:</w:t>
            </w:r>
            <w:r w:rsidRPr="00F15CD3">
              <w:t xml:space="preserve"> </w:t>
            </w:r>
            <w:r>
              <w:t>korduspakendite alg</w:t>
            </w:r>
            <w:r w:rsidRPr="00F15CD3">
              <w:t>varu</w:t>
            </w:r>
            <w:r w:rsidR="00C87A18">
              <w:t xml:space="preserve"> maht</w:t>
            </w:r>
            <w:r>
              <w:t xml:space="preserve"> (CAPEX)</w:t>
            </w:r>
            <w:r w:rsidRPr="00F15CD3">
              <w:t>, tk</w:t>
            </w:r>
          </w:p>
        </w:tc>
        <w:tc>
          <w:tcPr>
            <w:tcW w:w="985" w:type="pct"/>
          </w:tcPr>
          <w:p w14:paraId="4D500324" w14:textId="36F9F1C0" w:rsidR="0048179F" w:rsidRDefault="0048179F" w:rsidP="0048179F">
            <w:pPr>
              <w:jc w:val="left"/>
            </w:pPr>
            <w:r>
              <w:t>44 595</w:t>
            </w:r>
            <w:r w:rsidRPr="00F15CD3">
              <w:t xml:space="preserve"> </w:t>
            </w:r>
            <w:r w:rsidRPr="00F15CD3">
              <w:br/>
              <w:t xml:space="preserve">(1,5 </w:t>
            </w:r>
            <w:r>
              <w:t>nädala</w:t>
            </w:r>
            <w:r w:rsidRPr="00F15CD3">
              <w:t xml:space="preserve"> varu)</w:t>
            </w:r>
          </w:p>
        </w:tc>
        <w:tc>
          <w:tcPr>
            <w:tcW w:w="985" w:type="pct"/>
          </w:tcPr>
          <w:p w14:paraId="11955219" w14:textId="0E25B3BC" w:rsidR="0048179F" w:rsidRPr="00F15CD3" w:rsidRDefault="0048179F" w:rsidP="0048179F">
            <w:pPr>
              <w:jc w:val="left"/>
            </w:pPr>
            <w:r>
              <w:t>87 958</w:t>
            </w:r>
            <w:r w:rsidRPr="00F15CD3">
              <w:br/>
              <w:t>(1,5</w:t>
            </w:r>
            <w:r>
              <w:t xml:space="preserve"> nädala</w:t>
            </w:r>
            <w:r w:rsidRPr="00F15CD3">
              <w:t xml:space="preserve"> varu)</w:t>
            </w:r>
          </w:p>
        </w:tc>
        <w:tc>
          <w:tcPr>
            <w:tcW w:w="984" w:type="pct"/>
          </w:tcPr>
          <w:p w14:paraId="287B50A4" w14:textId="5BCC5075" w:rsidR="0048179F" w:rsidRPr="00F15CD3" w:rsidRDefault="0048179F" w:rsidP="0048179F">
            <w:pPr>
              <w:jc w:val="left"/>
            </w:pPr>
            <w:r>
              <w:t>16 517</w:t>
            </w:r>
            <w:r w:rsidRPr="00F15CD3">
              <w:br/>
              <w:t xml:space="preserve">(1,5 </w:t>
            </w:r>
            <w:r>
              <w:t>nädala</w:t>
            </w:r>
            <w:r w:rsidRPr="00F15CD3">
              <w:t xml:space="preserve"> varu)</w:t>
            </w:r>
          </w:p>
        </w:tc>
      </w:tr>
      <w:tr w:rsidR="0048179F" w14:paraId="79BD5A7C" w14:textId="77777777" w:rsidTr="00FE5DB7">
        <w:tc>
          <w:tcPr>
            <w:tcW w:w="2046" w:type="pct"/>
          </w:tcPr>
          <w:p w14:paraId="7C3E4C8A" w14:textId="26BB0568" w:rsidR="0048179F" w:rsidRPr="00F15CD3" w:rsidRDefault="0048179F" w:rsidP="0048179F">
            <w:pPr>
              <w:jc w:val="left"/>
            </w:pPr>
            <w:r>
              <w:t>K</w:t>
            </w:r>
            <w:r w:rsidRPr="00F15CD3">
              <w:t>adu/purunemi</w:t>
            </w:r>
            <w:r w:rsidR="00C87A18">
              <w:t>se asendusmäär</w:t>
            </w:r>
            <w:r w:rsidRPr="00F15CD3">
              <w:t>, %</w:t>
            </w:r>
          </w:p>
        </w:tc>
        <w:tc>
          <w:tcPr>
            <w:tcW w:w="985" w:type="pct"/>
          </w:tcPr>
          <w:p w14:paraId="7D0B3E0B" w14:textId="584F2AAE" w:rsidR="0048179F" w:rsidRPr="00F15CD3" w:rsidRDefault="0048179F" w:rsidP="0048179F">
            <w:r w:rsidRPr="00F15CD3">
              <w:t>10</w:t>
            </w:r>
          </w:p>
        </w:tc>
        <w:tc>
          <w:tcPr>
            <w:tcW w:w="985" w:type="pct"/>
          </w:tcPr>
          <w:p w14:paraId="3838B575" w14:textId="702528C1" w:rsidR="0048179F" w:rsidRPr="00F15CD3" w:rsidRDefault="0048179F" w:rsidP="0048179F">
            <w:r w:rsidRPr="00F15CD3">
              <w:t>10</w:t>
            </w:r>
          </w:p>
        </w:tc>
        <w:tc>
          <w:tcPr>
            <w:tcW w:w="984" w:type="pct"/>
          </w:tcPr>
          <w:p w14:paraId="5BA504EA" w14:textId="5C996242" w:rsidR="0048179F" w:rsidRPr="00F15CD3" w:rsidRDefault="0048179F" w:rsidP="0048179F">
            <w:r w:rsidRPr="00F15CD3">
              <w:t>10</w:t>
            </w:r>
          </w:p>
        </w:tc>
      </w:tr>
      <w:tr w:rsidR="0048179F" w14:paraId="1D846795" w14:textId="77777777" w:rsidTr="00FE5DB7">
        <w:tc>
          <w:tcPr>
            <w:tcW w:w="2046" w:type="pct"/>
          </w:tcPr>
          <w:p w14:paraId="70453989" w14:textId="111FBB88" w:rsidR="0048179F" w:rsidRPr="00F15CD3" w:rsidRDefault="0048179F" w:rsidP="0048179F">
            <w:pPr>
              <w:jc w:val="left"/>
            </w:pPr>
            <w:r w:rsidRPr="00F15CD3">
              <w:t>Pakendi eluiga (pesutsüklit)</w:t>
            </w:r>
            <w:r w:rsidR="00582737">
              <w:t>, n</w:t>
            </w:r>
            <w:r w:rsidR="00C43ADB">
              <w:t xml:space="preserve"> </w:t>
            </w:r>
            <w:r w:rsidR="00582737">
              <w:t>=</w:t>
            </w:r>
            <w:r w:rsidR="00C43ADB">
              <w:t xml:space="preserve"> </w:t>
            </w:r>
            <w:r w:rsidR="00582737">
              <w:t>50</w:t>
            </w:r>
            <w:r w:rsidR="00C87A18">
              <w:t xml:space="preserve"> kasutuskorda</w:t>
            </w:r>
          </w:p>
        </w:tc>
        <w:tc>
          <w:tcPr>
            <w:tcW w:w="985" w:type="pct"/>
          </w:tcPr>
          <w:p w14:paraId="2ABD2B97" w14:textId="3B536CE4" w:rsidR="0048179F" w:rsidRPr="00F15CD3" w:rsidRDefault="0048179F" w:rsidP="0048179F">
            <w:r w:rsidRPr="00F15CD3">
              <w:t>50</w:t>
            </w:r>
          </w:p>
        </w:tc>
        <w:tc>
          <w:tcPr>
            <w:tcW w:w="985" w:type="pct"/>
          </w:tcPr>
          <w:p w14:paraId="0116A3D7" w14:textId="36258540" w:rsidR="0048179F" w:rsidRPr="00F15CD3" w:rsidRDefault="0048179F" w:rsidP="0048179F">
            <w:r w:rsidRPr="00F15CD3">
              <w:t>50</w:t>
            </w:r>
          </w:p>
        </w:tc>
        <w:tc>
          <w:tcPr>
            <w:tcW w:w="984" w:type="pct"/>
          </w:tcPr>
          <w:p w14:paraId="5CA77E92" w14:textId="36287A9C" w:rsidR="0048179F" w:rsidRPr="00F15CD3" w:rsidRDefault="0048179F" w:rsidP="0048179F">
            <w:r w:rsidRPr="00F15CD3">
              <w:t>50</w:t>
            </w:r>
          </w:p>
        </w:tc>
      </w:tr>
      <w:tr w:rsidR="0048179F" w14:paraId="416C9F17" w14:textId="77777777" w:rsidTr="00FE5DB7">
        <w:tc>
          <w:tcPr>
            <w:tcW w:w="2046" w:type="pct"/>
          </w:tcPr>
          <w:p w14:paraId="4C80F51B" w14:textId="258DE70C" w:rsidR="0048179F" w:rsidRPr="00F15CD3" w:rsidRDefault="0048179F" w:rsidP="0048179F">
            <w:pPr>
              <w:jc w:val="left"/>
            </w:pPr>
            <w:r w:rsidRPr="00F15CD3">
              <w:t>Pakendi eluiga (pesutsüklit)</w:t>
            </w:r>
            <w:r w:rsidR="00582737">
              <w:t>, n</w:t>
            </w:r>
            <w:r w:rsidR="00C43ADB">
              <w:t xml:space="preserve"> </w:t>
            </w:r>
            <w:r w:rsidR="00582737">
              <w:t>=</w:t>
            </w:r>
            <w:r w:rsidR="00C43ADB">
              <w:t xml:space="preserve"> </w:t>
            </w:r>
            <w:r w:rsidR="00582737">
              <w:t>75</w:t>
            </w:r>
            <w:r w:rsidR="00C87A18">
              <w:t xml:space="preserve"> kasutuskorda</w:t>
            </w:r>
          </w:p>
        </w:tc>
        <w:tc>
          <w:tcPr>
            <w:tcW w:w="985" w:type="pct"/>
          </w:tcPr>
          <w:p w14:paraId="0A47ED65" w14:textId="3C02D7A6" w:rsidR="0048179F" w:rsidRPr="00F15CD3" w:rsidRDefault="0048179F" w:rsidP="0048179F">
            <w:r>
              <w:t>75</w:t>
            </w:r>
          </w:p>
        </w:tc>
        <w:tc>
          <w:tcPr>
            <w:tcW w:w="985" w:type="pct"/>
          </w:tcPr>
          <w:p w14:paraId="046AF457" w14:textId="51CFD230" w:rsidR="0048179F" w:rsidRPr="00F15CD3" w:rsidRDefault="0048179F" w:rsidP="0048179F">
            <w:r>
              <w:t>75</w:t>
            </w:r>
          </w:p>
        </w:tc>
        <w:tc>
          <w:tcPr>
            <w:tcW w:w="984" w:type="pct"/>
          </w:tcPr>
          <w:p w14:paraId="162C6D5F" w14:textId="23A34A99" w:rsidR="0048179F" w:rsidRPr="00F15CD3" w:rsidRDefault="0048179F" w:rsidP="0048179F">
            <w:r>
              <w:t>75</w:t>
            </w:r>
          </w:p>
        </w:tc>
      </w:tr>
      <w:tr w:rsidR="0048179F" w14:paraId="4A2BD550" w14:textId="77777777" w:rsidTr="00FE5DB7">
        <w:tc>
          <w:tcPr>
            <w:tcW w:w="2046" w:type="pct"/>
          </w:tcPr>
          <w:p w14:paraId="7B867898" w14:textId="4588E84E" w:rsidR="0048179F" w:rsidRPr="00F15CD3" w:rsidRDefault="0048179F" w:rsidP="0048179F">
            <w:pPr>
              <w:jc w:val="left"/>
            </w:pPr>
            <w:r w:rsidRPr="00F15CD3">
              <w:t>IV</w:t>
            </w:r>
            <w:r w:rsidR="00C87A18">
              <w:t xml:space="preserve"> stsenaarium:</w:t>
            </w:r>
            <w:r w:rsidRPr="00F15CD3">
              <w:t xml:space="preserve"> täisteenuse</w:t>
            </w:r>
            <w:r w:rsidR="00C87A18">
              <w:t xml:space="preserve"> ühiku</w:t>
            </w:r>
            <w:r w:rsidRPr="00F15CD3">
              <w:t>hind eur</w:t>
            </w:r>
            <w:r w:rsidR="00611DB7">
              <w:t>ot</w:t>
            </w:r>
            <w:r w:rsidRPr="00F15CD3">
              <w:t>/kasutus</w:t>
            </w:r>
            <w:r w:rsidR="00FE5DB7">
              <w:t xml:space="preserve">, </w:t>
            </w:r>
            <w:proofErr w:type="spellStart"/>
            <w:r w:rsidR="00FE5DB7">
              <w:t>max</w:t>
            </w:r>
            <w:proofErr w:type="spellEnd"/>
            <w:r w:rsidRPr="00F15CD3">
              <w:rPr>
                <w:rStyle w:val="Allmrkuseviide"/>
              </w:rPr>
              <w:footnoteReference w:id="5"/>
            </w:r>
          </w:p>
        </w:tc>
        <w:tc>
          <w:tcPr>
            <w:tcW w:w="985" w:type="pct"/>
          </w:tcPr>
          <w:p w14:paraId="70CD6BA2" w14:textId="78960A86" w:rsidR="0048179F" w:rsidRPr="00F15CD3" w:rsidRDefault="0048179F" w:rsidP="0048179F">
            <w:r w:rsidRPr="00F15CD3">
              <w:t>0,2</w:t>
            </w:r>
            <w:r>
              <w:t>8</w:t>
            </w:r>
          </w:p>
        </w:tc>
        <w:tc>
          <w:tcPr>
            <w:tcW w:w="985" w:type="pct"/>
          </w:tcPr>
          <w:p w14:paraId="52B00898" w14:textId="611FAF4E" w:rsidR="0048179F" w:rsidRPr="00F15CD3" w:rsidRDefault="0048179F" w:rsidP="0048179F">
            <w:r w:rsidRPr="00F15CD3">
              <w:t>0,28</w:t>
            </w:r>
          </w:p>
        </w:tc>
        <w:tc>
          <w:tcPr>
            <w:tcW w:w="984" w:type="pct"/>
          </w:tcPr>
          <w:p w14:paraId="0C009A99" w14:textId="0A639169" w:rsidR="0048179F" w:rsidRPr="00F15CD3" w:rsidRDefault="0048179F" w:rsidP="0048179F">
            <w:r w:rsidRPr="00F15CD3">
              <w:t>0,28</w:t>
            </w:r>
          </w:p>
        </w:tc>
      </w:tr>
      <w:tr w:rsidR="00A22D62" w14:paraId="7C3DFD7D" w14:textId="77777777" w:rsidTr="00FE5DB7">
        <w:tc>
          <w:tcPr>
            <w:tcW w:w="2046" w:type="pct"/>
          </w:tcPr>
          <w:p w14:paraId="0970EAB3" w14:textId="58CD3636" w:rsidR="00A22D62" w:rsidRPr="00F15CD3" w:rsidRDefault="00A22D62" w:rsidP="0048179F">
            <w:pPr>
              <w:jc w:val="left"/>
            </w:pPr>
            <w:r w:rsidRPr="00F15CD3">
              <w:t>IV</w:t>
            </w:r>
            <w:r w:rsidR="00C87A18">
              <w:t xml:space="preserve"> stsenaarium</w:t>
            </w:r>
            <w:r w:rsidR="00806121">
              <w:t>:</w:t>
            </w:r>
            <w:r w:rsidRPr="00F15CD3">
              <w:t xml:space="preserve"> täisteenuse </w:t>
            </w:r>
            <w:r w:rsidR="00806121">
              <w:t>ühiku</w:t>
            </w:r>
            <w:r w:rsidRPr="00F15CD3">
              <w:t>hind eur</w:t>
            </w:r>
            <w:r w:rsidR="00611DB7">
              <w:t>ot</w:t>
            </w:r>
            <w:r w:rsidRPr="00F15CD3">
              <w:t>/kasutus</w:t>
            </w:r>
            <w:r w:rsidR="00FE5DB7">
              <w:t>, min</w:t>
            </w:r>
            <w:r>
              <w:rPr>
                <w:rStyle w:val="Allmrkuseviide"/>
              </w:rPr>
              <w:footnoteReference w:id="6"/>
            </w:r>
          </w:p>
        </w:tc>
        <w:tc>
          <w:tcPr>
            <w:tcW w:w="985" w:type="pct"/>
          </w:tcPr>
          <w:p w14:paraId="4BE8825C" w14:textId="5BA22A16" w:rsidR="00A22D62" w:rsidRPr="00F15CD3" w:rsidRDefault="00A22D62" w:rsidP="0048179F">
            <w:r>
              <w:t>0,15</w:t>
            </w:r>
          </w:p>
        </w:tc>
        <w:tc>
          <w:tcPr>
            <w:tcW w:w="985" w:type="pct"/>
          </w:tcPr>
          <w:p w14:paraId="31DDD924" w14:textId="00AC5131" w:rsidR="00A22D62" w:rsidRPr="00F15CD3" w:rsidRDefault="00A22D62" w:rsidP="0048179F">
            <w:r>
              <w:t>0,15</w:t>
            </w:r>
          </w:p>
        </w:tc>
        <w:tc>
          <w:tcPr>
            <w:tcW w:w="984" w:type="pct"/>
          </w:tcPr>
          <w:p w14:paraId="26E00C20" w14:textId="49184A66" w:rsidR="00A22D62" w:rsidRPr="00F15CD3" w:rsidRDefault="00A22D62" w:rsidP="0048179F">
            <w:r>
              <w:t>0,15</w:t>
            </w:r>
          </w:p>
        </w:tc>
      </w:tr>
    </w:tbl>
    <w:p w14:paraId="05540806" w14:textId="77777777" w:rsidR="00B810F9" w:rsidRDefault="00B810F9" w:rsidP="00A02B4C"/>
    <w:p w14:paraId="3E2CA81D" w14:textId="79C99BB2" w:rsidR="00B810F9" w:rsidRDefault="00B810F9" w:rsidP="00A02B4C">
      <w:r>
        <w:t>P</w:t>
      </w:r>
      <w:r w:rsidRPr="00B810F9">
        <w:t xml:space="preserve">akendi eluiga </w:t>
      </w:r>
      <w:r>
        <w:t xml:space="preserve">käsitletakse </w:t>
      </w:r>
      <w:r w:rsidRPr="00B810F9">
        <w:t xml:space="preserve">ühe keskse tehnilise eeldusena, mille alusel kujuneb eeskätt korduskasutusstsenaariumite jooksev asendusvajadus ja sellest tulenev OPEX. Seetõttu arvutatakse rahavood ja tulemusnäitajad kahes alternatiivses baasjuhtumis, võrreldes kahte pakendi eluea eeldust – </w:t>
      </w:r>
      <w:r w:rsidR="00ED353D">
        <w:t>n</w:t>
      </w:r>
      <w:r w:rsidRPr="00B810F9">
        <w:t xml:space="preserve"> = 50 ja n = 75 kasutuskorda. Mõlema eluea eeldusvariandi korral korratakse sama stsenaariumite raamistikku ja arvutusloogikat (sh ajahorisont ja diskonteerimine), et hinnata, kuidas pakendi eluea pikenemine mõjutab</w:t>
      </w:r>
      <w:r>
        <w:t xml:space="preserve"> NPV-d</w:t>
      </w:r>
      <w:r w:rsidRPr="00B810F9">
        <w:t xml:space="preserve"> ning OPEX-i ühikukulu ja kulukomponentide jaotust teenuste lõikes. Eluea eelduste võrdlus on käsitletav stsenaariumipõhise alternatiivarvutusena (</w:t>
      </w:r>
      <w:r w:rsidR="00596022" w:rsidRPr="00596022">
        <w:t>kahe baasjuhtumi võrdlus</w:t>
      </w:r>
      <w:r w:rsidRPr="00B810F9">
        <w:t>), mitte eraldiseisva uue tundlikkusanalüüsina</w:t>
      </w:r>
      <w:r>
        <w:t xml:space="preserve"> ehk</w:t>
      </w:r>
      <w:r w:rsidRPr="00B810F9">
        <w:t xml:space="preserve"> 75 kasutuskorra variandi puhul ei koostata täiendavat tundlikkusanalüüsi, vaid esitatakse ja tõlgendatakse tulemusi paralleelselt 50 kasutuskorra baasvariandiga.</w:t>
      </w:r>
    </w:p>
    <w:p w14:paraId="6BDD56EC" w14:textId="77777777" w:rsidR="003571AE" w:rsidRDefault="003571AE" w:rsidP="003571AE">
      <w:r>
        <w:lastRenderedPageBreak/>
        <w:t xml:space="preserve">Tundlikkusanalüüsi eesmärk on hinnata, millised võtme-eeldused mõjutavad </w:t>
      </w:r>
      <w:proofErr w:type="spellStart"/>
      <w:r>
        <w:t>netonüüdisväärtuse</w:t>
      </w:r>
      <w:proofErr w:type="spellEnd"/>
      <w:r>
        <w:t xml:space="preserve"> (NPV) tulemust kõige rohkem ning milliste parameetrite muutus viib stsenaariumi tasuvuspiirile lähemale. Madal–kõrge vahemikud määrati allikapõhiselt ja dokumenteeritult, lähtudes parameetrite ebakindluse laadist (lepinguline/arvepõhine; turu- või protsessipõhine; hinnanguline/projektipõhine; käitumuslik)</w:t>
      </w:r>
      <w:r w:rsidRPr="00A02B4C">
        <w:rPr>
          <w:rStyle w:val="Allmrkuseviide"/>
        </w:rPr>
        <w:footnoteReference w:id="7"/>
      </w:r>
      <w:r>
        <w:t xml:space="preserve"> (Lisa 2).</w:t>
      </w:r>
    </w:p>
    <w:p w14:paraId="02621AD9" w14:textId="7A9F3F92" w:rsidR="003571AE" w:rsidRDefault="003571AE" w:rsidP="00A02B4C">
      <w:r>
        <w:t>Tundlikkusanalüüs viidi läbi ühesuunaliselt, st iga parameetrit muudeti eraldi madal–kõrge kordajate abil, hoides ülejäänud sisendid baasväärtustel. Tulemused näitavad, millised üksikud parameetrid mõjutavad tulemust kõige rohkem. Võtmeparameetrite esiletõstmiseks järjestati parameetrid selle järgi, kui tugevalt mõjutas parameetri 1% muutus NPV-</w:t>
      </w:r>
      <w:proofErr w:type="spellStart"/>
      <w:r>
        <w:t>d.</w:t>
      </w:r>
      <w:proofErr w:type="spellEnd"/>
      <w:r>
        <w:t xml:space="preserve"> Iga parameetri puhul hinnati mõju tugevust NPV-</w:t>
      </w:r>
      <w:proofErr w:type="spellStart"/>
      <w:r>
        <w:t>le</w:t>
      </w:r>
      <w:proofErr w:type="spellEnd"/>
      <w:r>
        <w:t xml:space="preserve"> ning seda, kas mõju suurendab või vähendab NPV-</w:t>
      </w:r>
      <w:proofErr w:type="spellStart"/>
      <w:r>
        <w:t>d.</w:t>
      </w:r>
      <w:proofErr w:type="spellEnd"/>
      <w:r>
        <w:t xml:space="preserve"> Lisaks hinnati iga võtmeparameetri tasuvuspiiri, st kui suure muutuse korral jõuaks vastava stsenaariumi NPV nullini eeldusel, et kõik teised sisendid jäävad muutumatuks. Tasuvuspiir näitab üksiku parameetri kriitilist muutust baasväärtuse suhtes. Lisaks hinnati diskontomäära mõju NPV ümberarvutamisega alternatiivsete diskontomäärade korral. </w:t>
      </w:r>
      <w:r w:rsidR="00F36FB8">
        <w:t xml:space="preserve">IV stsenaariumi puhul analüüsiti tundlikkust täisteenuse maksimaalse ühiku hinna eeldusel. </w:t>
      </w:r>
      <w:r>
        <w:t>Detailne parameetrite loetelu, parameetrite klasside loogika, kasutatud vahemikud ja tulemused on esitatud lisades. (Lisa 3)</w:t>
      </w:r>
      <w:r w:rsidR="00C73325">
        <w:t xml:space="preserve"> </w:t>
      </w:r>
    </w:p>
    <w:p w14:paraId="6AEEE6BD" w14:textId="0C66B188" w:rsidR="00D31F27" w:rsidRDefault="00D31F27" w:rsidP="00D31F27">
      <w:r>
        <w:t xml:space="preserve">Ettevõtete ärisaladuse ja konkurentsitundlike andmete kaitseks </w:t>
      </w:r>
      <w:proofErr w:type="spellStart"/>
      <w:r>
        <w:t>anonümiseeri</w:t>
      </w:r>
      <w:r w:rsidR="00950875">
        <w:t>ti</w:t>
      </w:r>
      <w:proofErr w:type="spellEnd"/>
      <w:r>
        <w:t xml:space="preserve"> juhtumid </w:t>
      </w:r>
      <w:r w:rsidR="00FE53C3">
        <w:t xml:space="preserve">vastavalt </w:t>
      </w:r>
      <w:r>
        <w:t>Teenus1, Teenus2 ja Teenus3 ning esitatakse tulemused viisil, mis ei võimalda üksikettevõtte tuvastamist. Avaldatavas tekstis üldistatakse ettevõttespetsiifilised nimetused (nt konkreetne asutuse tüüp või tootenimetus) neutraalseteks mõisteteks (nt „ettevõte“, „pakendiliik“, „toode“).</w:t>
      </w:r>
    </w:p>
    <w:p w14:paraId="6A16C85C" w14:textId="77777777" w:rsidR="00927EEF" w:rsidRDefault="00334024" w:rsidP="00C20982">
      <w:pPr>
        <w:jc w:val="left"/>
        <w:rPr>
          <w:szCs w:val="21"/>
        </w:rPr>
      </w:pPr>
      <w:r w:rsidRPr="00927EEF">
        <w:rPr>
          <w:b/>
          <w:bCs/>
          <w:szCs w:val="21"/>
        </w:rPr>
        <w:t>Andmeallikad:</w:t>
      </w:r>
    </w:p>
    <w:p w14:paraId="07115A40" w14:textId="77777777" w:rsidR="00927EEF" w:rsidRDefault="003D4B94" w:rsidP="00FA7D81">
      <w:pPr>
        <w:pStyle w:val="Loendilik"/>
        <w:numPr>
          <w:ilvl w:val="0"/>
          <w:numId w:val="18"/>
        </w:numPr>
        <w:rPr>
          <w:szCs w:val="21"/>
        </w:rPr>
      </w:pPr>
      <w:r>
        <w:rPr>
          <w:szCs w:val="21"/>
        </w:rPr>
        <w:t>Ettevõtjate poolsed andmed:</w:t>
      </w:r>
    </w:p>
    <w:p w14:paraId="3FC00126" w14:textId="77777777" w:rsidR="00927EEF" w:rsidRDefault="00523B55" w:rsidP="00FA7D81">
      <w:pPr>
        <w:pStyle w:val="Loendilik"/>
        <w:numPr>
          <w:ilvl w:val="0"/>
          <w:numId w:val="18"/>
        </w:numPr>
        <w:rPr>
          <w:szCs w:val="21"/>
        </w:rPr>
      </w:pPr>
      <w:r>
        <w:t>Statistikaamet</w:t>
      </w:r>
      <w:r w:rsidR="003D4B94">
        <w:t>;</w:t>
      </w:r>
    </w:p>
    <w:p w14:paraId="5A42F732" w14:textId="5DB62FEA" w:rsidR="002448ED" w:rsidRPr="001C658B" w:rsidRDefault="00FA7D81" w:rsidP="001C658B">
      <w:pPr>
        <w:pStyle w:val="Loendilik"/>
        <w:numPr>
          <w:ilvl w:val="0"/>
          <w:numId w:val="18"/>
        </w:numPr>
        <w:rPr>
          <w:szCs w:val="21"/>
        </w:rPr>
      </w:pPr>
      <w:r w:rsidRPr="00FA7D81">
        <w:t>https://www.fin.ee/riigi-rahandus-ja-maksud/fiskaalpoliitika-ja</w:t>
      </w:r>
      <w:r>
        <w:t xml:space="preserve"> </w:t>
      </w:r>
      <w:r w:rsidRPr="00FA7D81">
        <w:t>majandus/rahandusministeeriumi-majandusprognoos</w:t>
      </w:r>
      <w:r w:rsidR="007E755A">
        <w:rPr>
          <w:szCs w:val="21"/>
        </w:rPr>
        <w:t>.</w:t>
      </w:r>
    </w:p>
    <w:p w14:paraId="56121B52" w14:textId="77777777" w:rsidR="00244A3E" w:rsidRDefault="00A52752">
      <w:pPr>
        <w:jc w:val="left"/>
        <w:rPr>
          <w:b/>
          <w:bCs/>
        </w:rPr>
      </w:pPr>
      <w:r w:rsidRPr="00A52752">
        <w:rPr>
          <w:b/>
          <w:bCs/>
        </w:rPr>
        <w:t>Varasemad uuringud</w:t>
      </w:r>
      <w:r>
        <w:rPr>
          <w:b/>
          <w:bCs/>
        </w:rPr>
        <w:t xml:space="preserve"> ja teaduskirjandus</w:t>
      </w:r>
      <w:r w:rsidRPr="00A52752">
        <w:rPr>
          <w:b/>
          <w:bCs/>
        </w:rPr>
        <w:t>:</w:t>
      </w:r>
    </w:p>
    <w:p w14:paraId="0FAEF0AF" w14:textId="31590005" w:rsidR="00F35912" w:rsidRPr="003A56A5" w:rsidRDefault="00F35912" w:rsidP="00F35912">
      <w:pPr>
        <w:pStyle w:val="Loendilik"/>
        <w:numPr>
          <w:ilvl w:val="0"/>
          <w:numId w:val="18"/>
        </w:numPr>
        <w:jc w:val="left"/>
        <w:rPr>
          <w:szCs w:val="21"/>
        </w:rPr>
      </w:pPr>
      <w:proofErr w:type="spellStart"/>
      <w:r>
        <w:t>Zheng</w:t>
      </w:r>
      <w:proofErr w:type="spellEnd"/>
      <w:r>
        <w:t xml:space="preserve"> </w:t>
      </w:r>
      <w:proofErr w:type="spellStart"/>
      <w:r>
        <w:t>Lu</w:t>
      </w:r>
      <w:proofErr w:type="spellEnd"/>
      <w:r>
        <w:t xml:space="preserve">, </w:t>
      </w:r>
      <w:proofErr w:type="spellStart"/>
      <w:r>
        <w:t>Linus</w:t>
      </w:r>
      <w:proofErr w:type="spellEnd"/>
      <w:r>
        <w:t xml:space="preserve"> </w:t>
      </w:r>
      <w:proofErr w:type="spellStart"/>
      <w:r>
        <w:t>Hasselström</w:t>
      </w:r>
      <w:proofErr w:type="spellEnd"/>
      <w:r>
        <w:t xml:space="preserve">, Göran </w:t>
      </w:r>
      <w:proofErr w:type="spellStart"/>
      <w:r>
        <w:t>Finnvedena</w:t>
      </w:r>
      <w:proofErr w:type="spellEnd"/>
      <w:r>
        <w:t xml:space="preserve"> , </w:t>
      </w:r>
      <w:proofErr w:type="spellStart"/>
      <w:r>
        <w:t>Nils</w:t>
      </w:r>
      <w:proofErr w:type="spellEnd"/>
      <w:r>
        <w:t xml:space="preserve"> </w:t>
      </w:r>
      <w:proofErr w:type="spellStart"/>
      <w:r>
        <w:t>Johansson</w:t>
      </w:r>
      <w:proofErr w:type="spellEnd"/>
      <w:r>
        <w:t xml:space="preserve">. </w:t>
      </w:r>
      <w:r w:rsidRPr="003A56A5">
        <w:rPr>
          <w:szCs w:val="21"/>
        </w:rPr>
        <w:t>Cost-</w:t>
      </w:r>
      <w:proofErr w:type="spellStart"/>
      <w:r w:rsidRPr="003A56A5">
        <w:rPr>
          <w:szCs w:val="21"/>
        </w:rPr>
        <w:t>benefit</w:t>
      </w:r>
      <w:proofErr w:type="spellEnd"/>
      <w:r w:rsidRPr="003A56A5">
        <w:rPr>
          <w:szCs w:val="21"/>
        </w:rPr>
        <w:t xml:space="preserve"> </w:t>
      </w:r>
      <w:proofErr w:type="spellStart"/>
      <w:r w:rsidRPr="003A56A5">
        <w:rPr>
          <w:szCs w:val="21"/>
        </w:rPr>
        <w:t>analysis</w:t>
      </w:r>
      <w:proofErr w:type="spellEnd"/>
      <w:r w:rsidRPr="003A56A5">
        <w:rPr>
          <w:szCs w:val="21"/>
        </w:rPr>
        <w:t xml:space="preserve"> of </w:t>
      </w:r>
      <w:proofErr w:type="spellStart"/>
      <w:r w:rsidRPr="003A56A5">
        <w:rPr>
          <w:szCs w:val="21"/>
        </w:rPr>
        <w:t>two</w:t>
      </w:r>
      <w:proofErr w:type="spellEnd"/>
      <w:r w:rsidRPr="003A56A5">
        <w:rPr>
          <w:szCs w:val="21"/>
        </w:rPr>
        <w:t xml:space="preserve"> </w:t>
      </w:r>
      <w:proofErr w:type="spellStart"/>
      <w:r w:rsidRPr="003A56A5">
        <w:rPr>
          <w:szCs w:val="21"/>
        </w:rPr>
        <w:t>possible</w:t>
      </w:r>
      <w:proofErr w:type="spellEnd"/>
      <w:r w:rsidRPr="003A56A5">
        <w:rPr>
          <w:szCs w:val="21"/>
        </w:rPr>
        <w:t xml:space="preserve"> </w:t>
      </w:r>
      <w:proofErr w:type="spellStart"/>
      <w:r w:rsidRPr="003A56A5">
        <w:rPr>
          <w:szCs w:val="21"/>
        </w:rPr>
        <w:t>deposit-refund</w:t>
      </w:r>
      <w:proofErr w:type="spellEnd"/>
      <w:r w:rsidRPr="003A56A5">
        <w:rPr>
          <w:szCs w:val="21"/>
        </w:rPr>
        <w:t xml:space="preserve"> </w:t>
      </w:r>
      <w:proofErr w:type="spellStart"/>
      <w:r w:rsidRPr="003A56A5">
        <w:rPr>
          <w:szCs w:val="21"/>
        </w:rPr>
        <w:t>systems</w:t>
      </w:r>
      <w:proofErr w:type="spellEnd"/>
      <w:r w:rsidRPr="003A56A5">
        <w:rPr>
          <w:szCs w:val="21"/>
        </w:rPr>
        <w:t xml:space="preserve"> </w:t>
      </w:r>
      <w:proofErr w:type="spellStart"/>
      <w:r w:rsidRPr="003A56A5">
        <w:rPr>
          <w:szCs w:val="21"/>
        </w:rPr>
        <w:t>for</w:t>
      </w:r>
      <w:proofErr w:type="spellEnd"/>
      <w:r w:rsidRPr="003A56A5">
        <w:rPr>
          <w:szCs w:val="21"/>
        </w:rPr>
        <w:t xml:space="preserve"> </w:t>
      </w:r>
      <w:proofErr w:type="spellStart"/>
      <w:r w:rsidRPr="003A56A5">
        <w:rPr>
          <w:szCs w:val="21"/>
        </w:rPr>
        <w:t>reuse</w:t>
      </w:r>
      <w:proofErr w:type="spellEnd"/>
      <w:r w:rsidRPr="003A56A5">
        <w:rPr>
          <w:szCs w:val="21"/>
        </w:rPr>
        <w:t xml:space="preserve"> and </w:t>
      </w:r>
      <w:proofErr w:type="spellStart"/>
      <w:r w:rsidRPr="003A56A5">
        <w:rPr>
          <w:szCs w:val="21"/>
        </w:rPr>
        <w:t>recycling</w:t>
      </w:r>
      <w:proofErr w:type="spellEnd"/>
      <w:r w:rsidRPr="003A56A5">
        <w:rPr>
          <w:szCs w:val="21"/>
        </w:rPr>
        <w:t xml:space="preserve"> of </w:t>
      </w:r>
      <w:proofErr w:type="spellStart"/>
      <w:r w:rsidRPr="003A56A5">
        <w:rPr>
          <w:szCs w:val="21"/>
        </w:rPr>
        <w:t>plastic</w:t>
      </w:r>
      <w:proofErr w:type="spellEnd"/>
      <w:r w:rsidRPr="003A56A5">
        <w:rPr>
          <w:szCs w:val="21"/>
        </w:rPr>
        <w:t xml:space="preserve"> </w:t>
      </w:r>
      <w:proofErr w:type="spellStart"/>
      <w:r w:rsidRPr="003A56A5">
        <w:rPr>
          <w:szCs w:val="21"/>
        </w:rPr>
        <w:t>packaging</w:t>
      </w:r>
      <w:proofErr w:type="spellEnd"/>
      <w:r w:rsidRPr="003A56A5">
        <w:rPr>
          <w:szCs w:val="21"/>
        </w:rPr>
        <w:t xml:space="preserve"> in </w:t>
      </w:r>
      <w:proofErr w:type="spellStart"/>
      <w:r w:rsidRPr="003A56A5">
        <w:rPr>
          <w:szCs w:val="21"/>
        </w:rPr>
        <w:t>Sweden</w:t>
      </w:r>
      <w:proofErr w:type="spellEnd"/>
      <w:r>
        <w:rPr>
          <w:szCs w:val="21"/>
        </w:rPr>
        <w:t xml:space="preserve">. </w:t>
      </w:r>
      <w:proofErr w:type="spellStart"/>
      <w:r w:rsidRPr="003A56A5">
        <w:t>Cleaner</w:t>
      </w:r>
      <w:proofErr w:type="spellEnd"/>
      <w:r w:rsidRPr="003A56A5">
        <w:t xml:space="preserve"> </w:t>
      </w:r>
      <w:proofErr w:type="spellStart"/>
      <w:r w:rsidRPr="003A56A5">
        <w:t>Waste</w:t>
      </w:r>
      <w:proofErr w:type="spellEnd"/>
      <w:r w:rsidRPr="003A56A5">
        <w:t xml:space="preserve"> Systems, </w:t>
      </w:r>
      <w:proofErr w:type="spellStart"/>
      <w:r w:rsidRPr="003A56A5">
        <w:t>Volume</w:t>
      </w:r>
      <w:proofErr w:type="spellEnd"/>
      <w:r w:rsidRPr="003A56A5">
        <w:t xml:space="preserve"> 9, </w:t>
      </w:r>
      <w:proofErr w:type="spellStart"/>
      <w:r w:rsidRPr="003A56A5">
        <w:t>December</w:t>
      </w:r>
      <w:proofErr w:type="spellEnd"/>
      <w:r w:rsidRPr="003A56A5">
        <w:t xml:space="preserve"> 2024</w:t>
      </w:r>
      <w:r w:rsidR="007E755A">
        <w:t>;</w:t>
      </w:r>
    </w:p>
    <w:p w14:paraId="45541F86" w14:textId="18BBCEB9" w:rsidR="00F35912" w:rsidRDefault="00F35912" w:rsidP="00F35912">
      <w:pPr>
        <w:pStyle w:val="Loendilik"/>
        <w:numPr>
          <w:ilvl w:val="0"/>
          <w:numId w:val="18"/>
        </w:numPr>
        <w:jc w:val="left"/>
        <w:rPr>
          <w:szCs w:val="21"/>
        </w:rPr>
      </w:pPr>
      <w:proofErr w:type="spellStart"/>
      <w:r w:rsidRPr="003A56A5">
        <w:rPr>
          <w:szCs w:val="21"/>
        </w:rPr>
        <w:t>Making</w:t>
      </w:r>
      <w:proofErr w:type="spellEnd"/>
      <w:r w:rsidRPr="003A56A5">
        <w:rPr>
          <w:szCs w:val="21"/>
        </w:rPr>
        <w:t xml:space="preserve"> </w:t>
      </w:r>
      <w:proofErr w:type="spellStart"/>
      <w:r w:rsidRPr="003A56A5">
        <w:rPr>
          <w:szCs w:val="21"/>
        </w:rPr>
        <w:t>the</w:t>
      </w:r>
      <w:proofErr w:type="spellEnd"/>
      <w:r w:rsidRPr="003A56A5">
        <w:rPr>
          <w:szCs w:val="21"/>
        </w:rPr>
        <w:t xml:space="preserve"> </w:t>
      </w:r>
      <w:proofErr w:type="spellStart"/>
      <w:r w:rsidRPr="003A56A5">
        <w:rPr>
          <w:szCs w:val="21"/>
        </w:rPr>
        <w:t>business</w:t>
      </w:r>
      <w:proofErr w:type="spellEnd"/>
      <w:r w:rsidRPr="003A56A5">
        <w:rPr>
          <w:szCs w:val="21"/>
        </w:rPr>
        <w:t xml:space="preserve"> </w:t>
      </w:r>
      <w:proofErr w:type="spellStart"/>
      <w:r w:rsidRPr="003A56A5">
        <w:rPr>
          <w:szCs w:val="21"/>
        </w:rPr>
        <w:t>case</w:t>
      </w:r>
      <w:proofErr w:type="spellEnd"/>
      <w:r w:rsidRPr="003A56A5">
        <w:rPr>
          <w:szCs w:val="21"/>
        </w:rPr>
        <w:t xml:space="preserve"> </w:t>
      </w:r>
      <w:proofErr w:type="spellStart"/>
      <w:r w:rsidRPr="003A56A5">
        <w:rPr>
          <w:szCs w:val="21"/>
        </w:rPr>
        <w:t>for</w:t>
      </w:r>
      <w:proofErr w:type="spellEnd"/>
      <w:r w:rsidRPr="003A56A5">
        <w:rPr>
          <w:szCs w:val="21"/>
        </w:rPr>
        <w:t xml:space="preserve"> </w:t>
      </w:r>
      <w:proofErr w:type="spellStart"/>
      <w:r w:rsidRPr="003A56A5">
        <w:rPr>
          <w:szCs w:val="21"/>
        </w:rPr>
        <w:t>Packaging</w:t>
      </w:r>
      <w:proofErr w:type="spellEnd"/>
      <w:r w:rsidRPr="003A56A5">
        <w:rPr>
          <w:szCs w:val="21"/>
        </w:rPr>
        <w:t xml:space="preserve"> </w:t>
      </w:r>
      <w:proofErr w:type="spellStart"/>
      <w:r w:rsidRPr="003A56A5">
        <w:rPr>
          <w:szCs w:val="21"/>
        </w:rPr>
        <w:t>reuse</w:t>
      </w:r>
      <w:proofErr w:type="spellEnd"/>
      <w:r w:rsidRPr="003A56A5">
        <w:rPr>
          <w:szCs w:val="21"/>
        </w:rPr>
        <w:t xml:space="preserve"> </w:t>
      </w:r>
      <w:proofErr w:type="spellStart"/>
      <w:r w:rsidRPr="003A56A5">
        <w:rPr>
          <w:szCs w:val="21"/>
        </w:rPr>
        <w:t>systems</w:t>
      </w:r>
      <w:proofErr w:type="spellEnd"/>
      <w:r>
        <w:rPr>
          <w:szCs w:val="21"/>
        </w:rPr>
        <w:t xml:space="preserve">. </w:t>
      </w:r>
      <w:proofErr w:type="spellStart"/>
      <w:r w:rsidRPr="003A56A5">
        <w:rPr>
          <w:szCs w:val="21"/>
        </w:rPr>
        <w:t>Circular</w:t>
      </w:r>
      <w:proofErr w:type="spellEnd"/>
      <w:r w:rsidRPr="003A56A5">
        <w:rPr>
          <w:szCs w:val="21"/>
        </w:rPr>
        <w:t xml:space="preserve"> </w:t>
      </w:r>
      <w:proofErr w:type="spellStart"/>
      <w:r w:rsidRPr="003A56A5">
        <w:rPr>
          <w:szCs w:val="21"/>
        </w:rPr>
        <w:t>Economy</w:t>
      </w:r>
      <w:proofErr w:type="spellEnd"/>
      <w:r w:rsidRPr="003A56A5">
        <w:rPr>
          <w:szCs w:val="21"/>
        </w:rPr>
        <w:t xml:space="preserve"> Portugal</w:t>
      </w:r>
      <w:r>
        <w:rPr>
          <w:szCs w:val="21"/>
        </w:rPr>
        <w:t>, 2021. [</w:t>
      </w:r>
      <w:r w:rsidR="00FA7D81" w:rsidRPr="00FA7D81">
        <w:t>https://rethinkplasticalliance.eu/wp-content/uploads/2021/07/Packaging-Reuse-Systems_Study_Final_July2021corr.pdf</w:t>
      </w:r>
      <w:r>
        <w:rPr>
          <w:szCs w:val="21"/>
        </w:rPr>
        <w:t>]</w:t>
      </w:r>
      <w:r w:rsidR="007E755A">
        <w:rPr>
          <w:szCs w:val="21"/>
        </w:rPr>
        <w:t>;</w:t>
      </w:r>
    </w:p>
    <w:p w14:paraId="474A2920" w14:textId="77F6418E" w:rsidR="002D3643" w:rsidRPr="00216328" w:rsidRDefault="002D3643" w:rsidP="00F35912">
      <w:pPr>
        <w:pStyle w:val="Loendilik"/>
        <w:numPr>
          <w:ilvl w:val="0"/>
          <w:numId w:val="18"/>
        </w:numPr>
        <w:jc w:val="left"/>
        <w:rPr>
          <w:szCs w:val="21"/>
        </w:rPr>
      </w:pPr>
      <w:proofErr w:type="spellStart"/>
      <w:r>
        <w:t>Impact</w:t>
      </w:r>
      <w:proofErr w:type="spellEnd"/>
      <w:r>
        <w:t xml:space="preserve"> </w:t>
      </w:r>
      <w:proofErr w:type="spellStart"/>
      <w:r>
        <w:t>Assessment</w:t>
      </w:r>
      <w:proofErr w:type="spellEnd"/>
      <w:r>
        <w:t xml:space="preserve"> of </w:t>
      </w:r>
      <w:proofErr w:type="spellStart"/>
      <w:r>
        <w:t>reuse</w:t>
      </w:r>
      <w:proofErr w:type="spellEnd"/>
      <w:r>
        <w:t xml:space="preserve"> </w:t>
      </w:r>
      <w:proofErr w:type="spellStart"/>
      <w:r>
        <w:t>targets</w:t>
      </w:r>
      <w:proofErr w:type="spellEnd"/>
      <w:r>
        <w:t xml:space="preserve"> in </w:t>
      </w:r>
      <w:proofErr w:type="spellStart"/>
      <w:r>
        <w:t>proposed</w:t>
      </w:r>
      <w:proofErr w:type="spellEnd"/>
      <w:r>
        <w:t xml:space="preserve"> PPWR. </w:t>
      </w:r>
      <w:proofErr w:type="spellStart"/>
      <w:r w:rsidRPr="002D3643">
        <w:t>Final</w:t>
      </w:r>
      <w:proofErr w:type="spellEnd"/>
      <w:r w:rsidRPr="002D3643">
        <w:t xml:space="preserve"> </w:t>
      </w:r>
      <w:proofErr w:type="spellStart"/>
      <w:r w:rsidRPr="002D3643">
        <w:t>report</w:t>
      </w:r>
      <w:proofErr w:type="spellEnd"/>
      <w:r>
        <w:t xml:space="preserve">. </w:t>
      </w:r>
      <w:proofErr w:type="spellStart"/>
      <w:r w:rsidRPr="002D3643">
        <w:t>Study</w:t>
      </w:r>
      <w:proofErr w:type="spellEnd"/>
      <w:r w:rsidRPr="002D3643">
        <w:t xml:space="preserve"> </w:t>
      </w:r>
      <w:proofErr w:type="spellStart"/>
      <w:r w:rsidRPr="002D3643">
        <w:t>commissioned</w:t>
      </w:r>
      <w:proofErr w:type="spellEnd"/>
      <w:r w:rsidRPr="002D3643">
        <w:t xml:space="preserve"> by </w:t>
      </w:r>
      <w:proofErr w:type="spellStart"/>
      <w:r w:rsidRPr="002D3643">
        <w:t>Cepi</w:t>
      </w:r>
      <w:proofErr w:type="spellEnd"/>
      <w:r w:rsidRPr="002D3643">
        <w:t>, ECMA, EPPA, FEFCO and Pro Carton</w:t>
      </w:r>
      <w:r>
        <w:t>, 2023. [</w:t>
      </w:r>
      <w:r w:rsidRPr="002D3643">
        <w:t>https://www.cepi.org/wp-content/uploads/2023/04/202303-Impact-Assessment-of-reuse-targets-in-proposed-PPWR_FINAL.pdf</w:t>
      </w:r>
      <w:r>
        <w:t>]</w:t>
      </w:r>
      <w:r w:rsidR="007E755A">
        <w:t>;</w:t>
      </w:r>
    </w:p>
    <w:p w14:paraId="03189B7A" w14:textId="3D3DE730" w:rsidR="00216328" w:rsidRPr="00216328" w:rsidRDefault="00216328" w:rsidP="00216328">
      <w:pPr>
        <w:pStyle w:val="Loendilik"/>
        <w:numPr>
          <w:ilvl w:val="0"/>
          <w:numId w:val="18"/>
        </w:numPr>
        <w:jc w:val="left"/>
      </w:pPr>
      <w:r>
        <w:t xml:space="preserve"> </w:t>
      </w:r>
      <w:proofErr w:type="spellStart"/>
      <w:r>
        <w:t>Guide</w:t>
      </w:r>
      <w:proofErr w:type="spellEnd"/>
      <w:r>
        <w:t xml:space="preserve"> </w:t>
      </w:r>
      <w:proofErr w:type="spellStart"/>
      <w:r>
        <w:t>to</w:t>
      </w:r>
      <w:proofErr w:type="spellEnd"/>
      <w:r>
        <w:t xml:space="preserve"> Cost-</w:t>
      </w:r>
      <w:proofErr w:type="spellStart"/>
      <w:r>
        <w:t>Benefit</w:t>
      </w:r>
      <w:proofErr w:type="spellEnd"/>
      <w:r>
        <w:t xml:space="preserve"> </w:t>
      </w:r>
      <w:proofErr w:type="spellStart"/>
      <w:r>
        <w:t>Analysis</w:t>
      </w:r>
      <w:proofErr w:type="spellEnd"/>
      <w:r>
        <w:t xml:space="preserve"> of Investment </w:t>
      </w:r>
      <w:proofErr w:type="spellStart"/>
      <w:r>
        <w:t>Projects</w:t>
      </w:r>
      <w:proofErr w:type="spellEnd"/>
      <w:r>
        <w:t xml:space="preserve">. </w:t>
      </w:r>
      <w:proofErr w:type="spellStart"/>
      <w:r w:rsidRPr="00216328">
        <w:t>Economic</w:t>
      </w:r>
      <w:proofErr w:type="spellEnd"/>
      <w:r w:rsidRPr="00216328">
        <w:t xml:space="preserve"> </w:t>
      </w:r>
      <w:proofErr w:type="spellStart"/>
      <w:r w:rsidRPr="00216328">
        <w:t>appraisal</w:t>
      </w:r>
      <w:proofErr w:type="spellEnd"/>
      <w:r w:rsidRPr="00216328">
        <w:t xml:space="preserve"> tool </w:t>
      </w:r>
      <w:proofErr w:type="spellStart"/>
      <w:r w:rsidRPr="00216328">
        <w:t>for</w:t>
      </w:r>
      <w:proofErr w:type="spellEnd"/>
      <w:r w:rsidRPr="00216328">
        <w:t xml:space="preserve"> </w:t>
      </w:r>
      <w:proofErr w:type="spellStart"/>
      <w:r w:rsidRPr="00216328">
        <w:t>Cohesion</w:t>
      </w:r>
      <w:proofErr w:type="spellEnd"/>
      <w:r w:rsidRPr="00216328">
        <w:t xml:space="preserve"> </w:t>
      </w:r>
      <w:proofErr w:type="spellStart"/>
      <w:r w:rsidRPr="00216328">
        <w:t>Policy</w:t>
      </w:r>
      <w:proofErr w:type="spellEnd"/>
      <w:r w:rsidRPr="00216328">
        <w:t xml:space="preserve"> 2014-2020</w:t>
      </w:r>
      <w:r>
        <w:t xml:space="preserve">  [</w:t>
      </w:r>
      <w:r w:rsidR="00E810F6" w:rsidRPr="00E810F6">
        <w:t>https://ec.europa.eu/regional_policy/sources/studies/cba_guide.pdf</w:t>
      </w:r>
      <w:r>
        <w:t>]</w:t>
      </w:r>
      <w:r w:rsidR="007E755A">
        <w:t>.</w:t>
      </w:r>
    </w:p>
    <w:p w14:paraId="62114B8B" w14:textId="77777777" w:rsidR="00244A3E" w:rsidRDefault="00244A3E">
      <w:pPr>
        <w:jc w:val="left"/>
        <w:rPr>
          <w:b/>
          <w:bCs/>
        </w:rPr>
      </w:pPr>
      <w:r>
        <w:rPr>
          <w:b/>
          <w:bCs/>
        </w:rPr>
        <w:br w:type="page"/>
      </w:r>
    </w:p>
    <w:p w14:paraId="4C8C047D" w14:textId="77777777" w:rsidR="000B686C" w:rsidRDefault="002F3E03" w:rsidP="00663E9A">
      <w:pPr>
        <w:pStyle w:val="Pealkiri1"/>
        <w:numPr>
          <w:ilvl w:val="0"/>
          <w:numId w:val="28"/>
        </w:numPr>
      </w:pPr>
      <w:bookmarkStart w:id="4" w:name="_Toc228177582"/>
      <w:r>
        <w:lastRenderedPageBreak/>
        <w:t>Analüüsi</w:t>
      </w:r>
      <w:r w:rsidR="00003FF2">
        <w:t xml:space="preserve"> </w:t>
      </w:r>
      <w:r w:rsidR="00003FF2" w:rsidRPr="00741C26">
        <w:t>tulemused</w:t>
      </w:r>
      <w:bookmarkEnd w:id="4"/>
    </w:p>
    <w:p w14:paraId="32951CF5" w14:textId="77777777" w:rsidR="000B686C" w:rsidRPr="002F3E03" w:rsidRDefault="002F3E03" w:rsidP="00663E9A">
      <w:pPr>
        <w:pStyle w:val="Pealkiri2"/>
        <w:numPr>
          <w:ilvl w:val="1"/>
          <w:numId w:val="28"/>
        </w:numPr>
      </w:pPr>
      <w:bookmarkStart w:id="5" w:name="_Toc228177583"/>
      <w:r w:rsidRPr="002F3E03">
        <w:t>Juhtumiuuringute raamistik ja võrreldavad stsenaariumid</w:t>
      </w:r>
      <w:bookmarkEnd w:id="5"/>
    </w:p>
    <w:p w14:paraId="1D84ABE9" w14:textId="2F4832FC" w:rsidR="002F3E03" w:rsidRDefault="002F3E03" w:rsidP="002F3E03">
      <w:r>
        <w:t xml:space="preserve">Käesolevas peatükis antakse ülevaade kolme juhtumiuuringu (Teenus1, Teenus2 ja Teenus3) CBA põhitulemustest suletud </w:t>
      </w:r>
      <w:r w:rsidR="00EF301B">
        <w:t>süsteemi</w:t>
      </w:r>
      <w:r>
        <w:t xml:space="preserve"> kontekstis, kus korduskasutusnõusid kasutatakse ja tagastatakse </w:t>
      </w:r>
      <w:r w:rsidR="00EF301B">
        <w:t>teenuspakkuja juures</w:t>
      </w:r>
      <w:r>
        <w:t xml:space="preserve">. Võrdlusalusena käsitletakse </w:t>
      </w:r>
      <w:r w:rsidR="009B0611" w:rsidRPr="009B0611">
        <w:t>BAU-stsenaariumit</w:t>
      </w:r>
      <w:r w:rsidR="000A6080">
        <w:t xml:space="preserve"> ehk ettevõtete senist praktikat</w:t>
      </w:r>
      <w:r>
        <w:t xml:space="preserve"> ühekordsete nõude/pakendite kasutamisel ning kolme rakendusmudelit: (II) kohapealne pesu ettevõtte juures, (III) tsentraalne pesu (kogumine ja vedu pesuüksusesse) ning (IV) täisteenus, kus kolmas osapool tagab nõud, kogumise, pesu ja ringluse.</w:t>
      </w:r>
    </w:p>
    <w:p w14:paraId="05C3D95F" w14:textId="3AF1014C" w:rsidR="009A200F" w:rsidRDefault="002F3E03" w:rsidP="002F3E03">
      <w:r>
        <w:t xml:space="preserve">Eristus kohapealse ja tsentraalse mudeli vahel on majandusloogiliselt kriitiline, sest tsentraalne mudel lisab </w:t>
      </w:r>
      <w:proofErr w:type="spellStart"/>
      <w:r>
        <w:t>pöördlogistika</w:t>
      </w:r>
      <w:proofErr w:type="spellEnd"/>
      <w:r>
        <w:t xml:space="preserve"> komponendi: kasutatud nõude kogumine, vahepealne ladustamine, vedu pesuüksusesse ning puhastatud nõude tagasitoomine. Isegi kui veokilomeetrid on osaliselt muutuvkulu, toob teenuse käitamine kaasa ka </w:t>
      </w:r>
      <w:proofErr w:type="spellStart"/>
      <w:r>
        <w:t>püsikululisi</w:t>
      </w:r>
      <w:proofErr w:type="spellEnd"/>
      <w:r>
        <w:t xml:space="preserve"> komponente (nt minimaalsed veoringid ja ajagraafikud, logistikapartneri lepingulised miinimummahud, sorteerimis- ja konsolideerimisprotsess). </w:t>
      </w:r>
      <w:r w:rsidR="00ED353D" w:rsidRPr="00ED353D">
        <w:t xml:space="preserve">PPWR korduskasutuse sihttasemete </w:t>
      </w:r>
      <w:r>
        <w:t>mõjuhinna</w:t>
      </w:r>
      <w:r w:rsidR="00EF1FA6">
        <w:t>ngus tuuakse välja</w:t>
      </w:r>
      <w:r>
        <w:t>, et transport on korduskasutussüsteemides võtmekomponent ning võib anda märkimisväärse osa nii süsteemi kogukulust kui ka kasvuhoonegaaside heitest. Eraldi tuuakse välja, et transpordiga seotud kulu võib moodustada ligikaudu 45–55% süsteemi kogukulust ja transpordiga seotud CO</w:t>
      </w:r>
      <w:r>
        <w:rPr>
          <w:rFonts w:ascii="Cambria Math" w:hAnsi="Cambria Math" w:cs="Cambria Math"/>
        </w:rPr>
        <w:t>₂</w:t>
      </w:r>
      <w:r>
        <w:t>-heitmed 35</w:t>
      </w:r>
      <w:r>
        <w:rPr>
          <w:rFonts w:cs="Roboto"/>
        </w:rPr>
        <w:t>–</w:t>
      </w:r>
      <w:r>
        <w:t>45% kogu CO</w:t>
      </w:r>
      <w:r>
        <w:rPr>
          <w:rFonts w:ascii="Cambria Math" w:hAnsi="Cambria Math" w:cs="Cambria Math"/>
        </w:rPr>
        <w:t>₂</w:t>
      </w:r>
      <w:r>
        <w:t>-heitest toidupakendite korduskasutuse lahendustes</w:t>
      </w:r>
      <w:r w:rsidR="002448ED">
        <w:t>.</w:t>
      </w:r>
      <w:r w:rsidR="00BE3ED3">
        <w:rPr>
          <w:rStyle w:val="Allmrkuseviide"/>
        </w:rPr>
        <w:footnoteReference w:id="8"/>
      </w:r>
    </w:p>
    <w:p w14:paraId="4576CF2D" w14:textId="77777777" w:rsidR="00070BA1" w:rsidRPr="00070BA1" w:rsidRDefault="00070BA1" w:rsidP="00663E9A">
      <w:pPr>
        <w:pStyle w:val="Pealkiri2"/>
        <w:numPr>
          <w:ilvl w:val="1"/>
          <w:numId w:val="28"/>
        </w:numPr>
      </w:pPr>
      <w:bookmarkStart w:id="6" w:name="_Toc228177584"/>
      <w:r w:rsidRPr="00070BA1">
        <w:t>Juhtumiuuringute majanduslikud põhitulemused</w:t>
      </w:r>
      <w:bookmarkEnd w:id="6"/>
    </w:p>
    <w:p w14:paraId="79F6DDFE" w14:textId="7C32B2A1" w:rsidR="00070BA1" w:rsidRPr="00070BA1" w:rsidRDefault="0053500A" w:rsidP="00663E9A">
      <w:pPr>
        <w:pStyle w:val="Pealkiri3"/>
        <w:numPr>
          <w:ilvl w:val="2"/>
          <w:numId w:val="28"/>
        </w:numPr>
      </w:pPr>
      <w:bookmarkStart w:id="7" w:name="_Toc228177585"/>
      <w:r>
        <w:t xml:space="preserve">Rahavoogude </w:t>
      </w:r>
      <w:r w:rsidR="000A6080">
        <w:t>NPV</w:t>
      </w:r>
      <w:r w:rsidR="00070BA1" w:rsidRPr="00070BA1">
        <w:t xml:space="preserve"> ja </w:t>
      </w:r>
      <w:r w:rsidR="00116660">
        <w:t>CAPEX</w:t>
      </w:r>
      <w:bookmarkEnd w:id="7"/>
      <w:r w:rsidR="00070BA1" w:rsidRPr="00070BA1">
        <w:t xml:space="preserve"> </w:t>
      </w:r>
    </w:p>
    <w:p w14:paraId="0EAF41A7" w14:textId="3857A4F7" w:rsidR="00822D9E" w:rsidRDefault="006C308D" w:rsidP="00070BA1">
      <w:pPr>
        <w:rPr>
          <w:szCs w:val="21"/>
        </w:rPr>
      </w:pPr>
      <w:r w:rsidRPr="006C308D">
        <w:rPr>
          <w:szCs w:val="21"/>
        </w:rPr>
        <w:t>Baastulemused näitavad kõigis kolmes juhtumis sama üldist paremusjärjestust: kohapealne pesu (II) on baaseeldustel positiivse NPV</w:t>
      </w:r>
      <w:r w:rsidR="000A6080">
        <w:rPr>
          <w:szCs w:val="21"/>
        </w:rPr>
        <w:t>-</w:t>
      </w:r>
      <w:proofErr w:type="spellStart"/>
      <w:r w:rsidR="000A6080">
        <w:rPr>
          <w:szCs w:val="21"/>
        </w:rPr>
        <w:t>ga</w:t>
      </w:r>
      <w:proofErr w:type="spellEnd"/>
      <w:r w:rsidRPr="006C308D">
        <w:rPr>
          <w:szCs w:val="21"/>
        </w:rPr>
        <w:t>, samas kui tsentraalse pesu (III) stsenaarium jääb negatiivse NPV-</w:t>
      </w:r>
      <w:proofErr w:type="spellStart"/>
      <w:r w:rsidRPr="006C308D">
        <w:rPr>
          <w:szCs w:val="21"/>
        </w:rPr>
        <w:t>ga</w:t>
      </w:r>
      <w:proofErr w:type="spellEnd"/>
      <w:r w:rsidRPr="006C308D">
        <w:rPr>
          <w:szCs w:val="21"/>
        </w:rPr>
        <w:t xml:space="preserve"> ning täisteenuse </w:t>
      </w:r>
      <w:r w:rsidR="000A6080">
        <w:rPr>
          <w:szCs w:val="21"/>
        </w:rPr>
        <w:t xml:space="preserve">stsenaariumi </w:t>
      </w:r>
      <w:r w:rsidRPr="006C308D">
        <w:rPr>
          <w:szCs w:val="21"/>
        </w:rPr>
        <w:t xml:space="preserve">(IV) tulemus sõltub otseselt hinnatasemest. See viitab, et suletud süsteemides määrab kulutõhususe eeskätt ringluse pikkus – mida vähem etappe (kogumine–transport–pesu–tagastus) tuleb lisada ettevõtte tavapärasele teenindusprotsessile, seda väiksem on täiendav kulu koha peal tarbitavate jookide ja toitude serveerimisel. Tabelis 3 võrreldakse kahte pakendi eluea eeldust – </w:t>
      </w:r>
      <w:r w:rsidR="00291194">
        <w:rPr>
          <w:szCs w:val="21"/>
        </w:rPr>
        <w:t>n</w:t>
      </w:r>
      <w:r w:rsidR="00C43ADB">
        <w:rPr>
          <w:szCs w:val="21"/>
        </w:rPr>
        <w:t xml:space="preserve"> </w:t>
      </w:r>
      <w:r w:rsidRPr="006C308D">
        <w:rPr>
          <w:szCs w:val="21"/>
        </w:rPr>
        <w:t>=</w:t>
      </w:r>
      <w:r w:rsidR="00C43ADB">
        <w:rPr>
          <w:szCs w:val="21"/>
        </w:rPr>
        <w:t xml:space="preserve"> </w:t>
      </w:r>
      <w:r w:rsidRPr="006C308D">
        <w:rPr>
          <w:szCs w:val="21"/>
        </w:rPr>
        <w:t>50 ja n</w:t>
      </w:r>
      <w:r w:rsidR="00C43ADB">
        <w:rPr>
          <w:szCs w:val="21"/>
        </w:rPr>
        <w:t xml:space="preserve"> </w:t>
      </w:r>
      <w:r w:rsidRPr="006C308D">
        <w:rPr>
          <w:szCs w:val="21"/>
        </w:rPr>
        <w:t>=</w:t>
      </w:r>
      <w:r w:rsidR="00C43ADB">
        <w:rPr>
          <w:szCs w:val="21"/>
        </w:rPr>
        <w:t xml:space="preserve"> </w:t>
      </w:r>
      <w:r w:rsidRPr="006C308D">
        <w:rPr>
          <w:szCs w:val="21"/>
        </w:rPr>
        <w:t xml:space="preserve">75 kasutuskorda – ning IV stsenaariumi puhul ka täisteenuse miinimum- ja maksimumhinda. </w:t>
      </w:r>
      <w:r w:rsidR="00822D9E">
        <w:rPr>
          <w:szCs w:val="21"/>
        </w:rPr>
        <w:t>(Tab</w:t>
      </w:r>
      <w:r w:rsidR="001A53B2">
        <w:rPr>
          <w:szCs w:val="21"/>
        </w:rPr>
        <w:t>el</w:t>
      </w:r>
      <w:r w:rsidR="00822D9E">
        <w:rPr>
          <w:szCs w:val="21"/>
        </w:rPr>
        <w:t xml:space="preserve"> </w:t>
      </w:r>
      <w:r w:rsidR="00F15CD3">
        <w:rPr>
          <w:szCs w:val="21"/>
        </w:rPr>
        <w:t>3</w:t>
      </w:r>
      <w:r w:rsidR="00822D9E">
        <w:rPr>
          <w:szCs w:val="21"/>
        </w:rPr>
        <w:t>)</w:t>
      </w:r>
    </w:p>
    <w:p w14:paraId="535C1178" w14:textId="6757C794" w:rsidR="006C308D" w:rsidRDefault="006C308D" w:rsidP="006C308D">
      <w:pPr>
        <w:rPr>
          <w:szCs w:val="21"/>
        </w:rPr>
      </w:pPr>
      <w:r w:rsidRPr="006C308D">
        <w:rPr>
          <w:szCs w:val="21"/>
        </w:rPr>
        <w:t>Pakendi eluea pikenemise mõju NPV-</w:t>
      </w:r>
      <w:proofErr w:type="spellStart"/>
      <w:r w:rsidRPr="006C308D">
        <w:rPr>
          <w:szCs w:val="21"/>
        </w:rPr>
        <w:t>le</w:t>
      </w:r>
      <w:proofErr w:type="spellEnd"/>
      <w:r w:rsidRPr="006C308D">
        <w:rPr>
          <w:szCs w:val="21"/>
        </w:rPr>
        <w:t xml:space="preserve"> on II stsenaariumis teenuste lõikes ebaühtlane, sest tegemist on OPEX-i komponendiga, mille absoluutne sääst on võrreldav, kuid mille suhteline tähendus sõltub baastaseme NPV suurusest. Kui pakendi kasutusiga suureneb 50 kasutuskorralt 75 kasutuskorrani, väheneb jooksev asendusvajadus ja sellega seotud asenduskulu ligikaudu 33%. Selle tulemusel suureneb II stsenaariumi NPV Teenus1 puhul 364 454 eurolt 437 538 euroni (muutus ligikaudu 20%), Teenus2 puhul 179 449 eurolt 264 319 euroni (muutus ligikaudu 47%) ning Teenus3 puhul 34 315 eurolt 50 276 euroni (muutus ligikaudu 47%). III stsenaariumis on mõju väiksem, kuid siiski selgelt positiivne: Teenus1 puhul paraneb NPV −732 410 eurolt −659 326 euroni, Teenus2 puhul −1 775 114 eurolt −1 690 243 euroni ning Teenus3 puhul −227 912 eurolt −211 951 euroni. IV stsenaariumis ei sõltu NPV pakendi eluea eeldusest, kuid tulemus erineb oluliselt sõltuvalt teenustasu hinnatasemest: </w:t>
      </w:r>
      <w:r w:rsidRPr="006C308D">
        <w:rPr>
          <w:szCs w:val="21"/>
        </w:rPr>
        <w:lastRenderedPageBreak/>
        <w:t xml:space="preserve">maksimumhinna korral jääb NPV kõigis teenustes selgelt negatiivseks, samas kui miinimumhinna korral liigub tulemus tasuvuspiirile märksa lähemale, eriti Teenus1 puhul. </w:t>
      </w:r>
      <w:r>
        <w:rPr>
          <w:szCs w:val="21"/>
        </w:rPr>
        <w:t>(Tabel 3)</w:t>
      </w:r>
    </w:p>
    <w:p w14:paraId="74765831" w14:textId="337A7FA1" w:rsidR="00822D9E" w:rsidRDefault="00822D9E" w:rsidP="00BE3ED3">
      <w:pPr>
        <w:pStyle w:val="Vahedeta"/>
      </w:pPr>
      <w:r w:rsidRPr="00BE3ED3">
        <w:rPr>
          <w:b/>
          <w:bCs/>
        </w:rPr>
        <w:t xml:space="preserve">Tabel </w:t>
      </w:r>
      <w:r w:rsidR="00F15CD3">
        <w:rPr>
          <w:b/>
          <w:bCs/>
        </w:rPr>
        <w:t>3</w:t>
      </w:r>
      <w:r w:rsidRPr="00BE3ED3">
        <w:rPr>
          <w:b/>
          <w:bCs/>
        </w:rPr>
        <w:t>.</w:t>
      </w:r>
      <w:r>
        <w:t xml:space="preserve"> </w:t>
      </w:r>
      <w:proofErr w:type="spellStart"/>
      <w:r w:rsidR="002007A4" w:rsidRPr="002007A4">
        <w:t>Nüüdispuhasväärtus</w:t>
      </w:r>
      <w:proofErr w:type="spellEnd"/>
      <w:r w:rsidR="002007A4" w:rsidRPr="002007A4">
        <w:t xml:space="preserve"> (NPV) teenuste ja stsenaariumite lõikes kahel korduspakendi eluea eeldusel (n = korduspakendi kasutuskordade arv) ning IV stsenaariumi täisteenuse hinna miinimum</w:t>
      </w:r>
      <w:r w:rsidR="002007A4" w:rsidRPr="002007A4">
        <w:rPr>
          <w:rFonts w:ascii="Cambria Math" w:hAnsi="Cambria Math" w:cs="Cambria Math"/>
        </w:rPr>
        <w:t>‑</w:t>
      </w:r>
      <w:r w:rsidR="002007A4" w:rsidRPr="002007A4">
        <w:t xml:space="preserve"> ja maksimumv</w:t>
      </w:r>
      <w:r w:rsidR="002007A4" w:rsidRPr="002007A4">
        <w:rPr>
          <w:rFonts w:ascii="Aptos" w:hAnsi="Aptos" w:cs="Aptos"/>
        </w:rPr>
        <w:t>ää</w:t>
      </w:r>
      <w:r w:rsidR="002007A4" w:rsidRPr="002007A4">
        <w:t>rtuste rakendamisel, eurot</w:t>
      </w:r>
    </w:p>
    <w:tbl>
      <w:tblPr>
        <w:tblStyle w:val="Tabelilaad"/>
        <w:tblW w:w="5529" w:type="dxa"/>
        <w:tblLook w:val="04A0" w:firstRow="1" w:lastRow="0" w:firstColumn="1" w:lastColumn="0" w:noHBand="0" w:noVBand="1"/>
      </w:tblPr>
      <w:tblGrid>
        <w:gridCol w:w="1546"/>
        <w:gridCol w:w="1148"/>
        <w:gridCol w:w="1417"/>
        <w:gridCol w:w="1418"/>
      </w:tblGrid>
      <w:tr w:rsidR="00C01D5D" w:rsidRPr="00C01D5D" w14:paraId="7CA36097" w14:textId="77777777" w:rsidTr="00D60920">
        <w:trPr>
          <w:cnfStyle w:val="100000000000" w:firstRow="1" w:lastRow="0" w:firstColumn="0" w:lastColumn="0" w:oddVBand="0" w:evenVBand="0" w:oddHBand="0" w:evenHBand="0" w:firstRowFirstColumn="0" w:firstRowLastColumn="0" w:lastRowFirstColumn="0" w:lastRowLastColumn="0"/>
          <w:trHeight w:val="294"/>
        </w:trPr>
        <w:tc>
          <w:tcPr>
            <w:tcW w:w="1546" w:type="dxa"/>
            <w:noWrap/>
            <w:hideMark/>
          </w:tcPr>
          <w:p w14:paraId="1DED116F" w14:textId="77777777"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Stsenaariumid</w:t>
            </w:r>
          </w:p>
        </w:tc>
        <w:tc>
          <w:tcPr>
            <w:tcW w:w="1148" w:type="dxa"/>
            <w:noWrap/>
            <w:hideMark/>
          </w:tcPr>
          <w:p w14:paraId="2AC2826D" w14:textId="77777777" w:rsidR="00C01D5D" w:rsidRPr="00C01D5D" w:rsidRDefault="00C01D5D" w:rsidP="00C01D5D">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Teenus1</w:t>
            </w:r>
          </w:p>
        </w:tc>
        <w:tc>
          <w:tcPr>
            <w:tcW w:w="1417" w:type="dxa"/>
            <w:noWrap/>
            <w:hideMark/>
          </w:tcPr>
          <w:p w14:paraId="031264CC" w14:textId="77777777" w:rsidR="00C01D5D" w:rsidRPr="00C01D5D" w:rsidRDefault="00C01D5D" w:rsidP="00C01D5D">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Teenus2</w:t>
            </w:r>
          </w:p>
        </w:tc>
        <w:tc>
          <w:tcPr>
            <w:tcW w:w="1418" w:type="dxa"/>
            <w:noWrap/>
            <w:hideMark/>
          </w:tcPr>
          <w:p w14:paraId="73B18760" w14:textId="77777777" w:rsidR="00C01D5D" w:rsidRPr="00C01D5D" w:rsidRDefault="00C01D5D" w:rsidP="00C01D5D">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Teenus3</w:t>
            </w:r>
          </w:p>
        </w:tc>
      </w:tr>
      <w:tr w:rsidR="00C01D5D" w:rsidRPr="00C01D5D" w14:paraId="395F18D9" w14:textId="77777777" w:rsidTr="00D60920">
        <w:trPr>
          <w:trHeight w:val="294"/>
        </w:trPr>
        <w:tc>
          <w:tcPr>
            <w:tcW w:w="1546" w:type="dxa"/>
            <w:shd w:val="clear" w:color="auto" w:fill="F2F2F2" w:themeFill="background1" w:themeFillShade="F2"/>
            <w:noWrap/>
            <w:hideMark/>
          </w:tcPr>
          <w:p w14:paraId="22BD7539" w14:textId="538B5872"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w:t>
            </w:r>
            <w:r w:rsidR="007D4ED0">
              <w:rPr>
                <w:rFonts w:ascii="Aptos Narrow" w:eastAsia="Times New Roman" w:hAnsi="Aptos Narrow" w:cs="Times New Roman"/>
                <w:kern w:val="0"/>
                <w:sz w:val="22"/>
                <w:szCs w:val="22"/>
                <w:lang w:eastAsia="et-EE"/>
                <w14:ligatures w14:val="none"/>
              </w:rPr>
              <w:t xml:space="preserve"> </w:t>
            </w:r>
            <w:r w:rsidRPr="00C01D5D">
              <w:rPr>
                <w:rFonts w:ascii="Aptos Narrow" w:eastAsia="Times New Roman" w:hAnsi="Aptos Narrow" w:cs="Times New Roman"/>
                <w:kern w:val="0"/>
                <w:sz w:val="22"/>
                <w:szCs w:val="22"/>
                <w:lang w:eastAsia="et-EE"/>
                <w14:ligatures w14:val="none"/>
              </w:rPr>
              <w:t>II</w:t>
            </w:r>
            <w:r w:rsidR="007D4ED0">
              <w:rPr>
                <w:rFonts w:ascii="Aptos Narrow" w:eastAsia="Times New Roman" w:hAnsi="Aptos Narrow" w:cs="Times New Roman"/>
                <w:kern w:val="0"/>
                <w:sz w:val="22"/>
                <w:szCs w:val="22"/>
                <w:lang w:eastAsia="et-EE"/>
                <w14:ligatures w14:val="none"/>
              </w:rPr>
              <w:t>, n=50</w:t>
            </w:r>
          </w:p>
        </w:tc>
        <w:tc>
          <w:tcPr>
            <w:tcW w:w="1148" w:type="dxa"/>
            <w:shd w:val="clear" w:color="auto" w:fill="F2F2F2" w:themeFill="background1" w:themeFillShade="F2"/>
            <w:noWrap/>
            <w:hideMark/>
          </w:tcPr>
          <w:p w14:paraId="5946C2A1" w14:textId="20D235DC"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364 454</w:t>
            </w:r>
          </w:p>
        </w:tc>
        <w:tc>
          <w:tcPr>
            <w:tcW w:w="1417" w:type="dxa"/>
            <w:shd w:val="clear" w:color="auto" w:fill="F2F2F2" w:themeFill="background1" w:themeFillShade="F2"/>
            <w:noWrap/>
            <w:hideMark/>
          </w:tcPr>
          <w:p w14:paraId="0AA579CD" w14:textId="3481A7B9"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179 449</w:t>
            </w:r>
          </w:p>
        </w:tc>
        <w:tc>
          <w:tcPr>
            <w:tcW w:w="1418" w:type="dxa"/>
            <w:shd w:val="clear" w:color="auto" w:fill="F2F2F2" w:themeFill="background1" w:themeFillShade="F2"/>
            <w:noWrap/>
            <w:hideMark/>
          </w:tcPr>
          <w:p w14:paraId="093E62C0" w14:textId="4464CF28"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34 315</w:t>
            </w:r>
          </w:p>
        </w:tc>
      </w:tr>
      <w:tr w:rsidR="00C01D5D" w:rsidRPr="00C01D5D" w14:paraId="4DE0F3AF" w14:textId="77777777" w:rsidTr="00D60920">
        <w:trPr>
          <w:trHeight w:val="294"/>
        </w:trPr>
        <w:tc>
          <w:tcPr>
            <w:tcW w:w="1546" w:type="dxa"/>
            <w:noWrap/>
            <w:hideMark/>
          </w:tcPr>
          <w:p w14:paraId="1049000C" w14:textId="1F34C61C"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w:t>
            </w:r>
            <w:r w:rsidR="007D4ED0">
              <w:rPr>
                <w:rFonts w:ascii="Aptos Narrow" w:eastAsia="Times New Roman" w:hAnsi="Aptos Narrow" w:cs="Times New Roman"/>
                <w:kern w:val="0"/>
                <w:sz w:val="22"/>
                <w:szCs w:val="22"/>
                <w:lang w:eastAsia="et-EE"/>
                <w14:ligatures w14:val="none"/>
              </w:rPr>
              <w:t xml:space="preserve"> </w:t>
            </w:r>
            <w:r w:rsidRPr="00C01D5D">
              <w:rPr>
                <w:rFonts w:ascii="Aptos Narrow" w:eastAsia="Times New Roman" w:hAnsi="Aptos Narrow" w:cs="Times New Roman"/>
                <w:kern w:val="0"/>
                <w:sz w:val="22"/>
                <w:szCs w:val="22"/>
                <w:lang w:eastAsia="et-EE"/>
                <w14:ligatures w14:val="none"/>
              </w:rPr>
              <w:t>II</w:t>
            </w:r>
            <w:r w:rsidR="007D4ED0">
              <w:rPr>
                <w:rFonts w:ascii="Aptos Narrow" w:eastAsia="Times New Roman" w:hAnsi="Aptos Narrow" w:cs="Times New Roman"/>
                <w:kern w:val="0"/>
                <w:sz w:val="22"/>
                <w:szCs w:val="22"/>
                <w:lang w:eastAsia="et-EE"/>
                <w14:ligatures w14:val="none"/>
              </w:rPr>
              <w:t>, n=75</w:t>
            </w:r>
          </w:p>
        </w:tc>
        <w:tc>
          <w:tcPr>
            <w:tcW w:w="1148" w:type="dxa"/>
            <w:noWrap/>
            <w:hideMark/>
          </w:tcPr>
          <w:p w14:paraId="5B937D36" w14:textId="14FE24A2"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437 538</w:t>
            </w:r>
          </w:p>
        </w:tc>
        <w:tc>
          <w:tcPr>
            <w:tcW w:w="1417" w:type="dxa"/>
            <w:noWrap/>
            <w:hideMark/>
          </w:tcPr>
          <w:p w14:paraId="44376AF1" w14:textId="593CF59C"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264 319</w:t>
            </w:r>
          </w:p>
        </w:tc>
        <w:tc>
          <w:tcPr>
            <w:tcW w:w="1418" w:type="dxa"/>
            <w:noWrap/>
            <w:hideMark/>
          </w:tcPr>
          <w:p w14:paraId="1D0E6FBA" w14:textId="0BF55792"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50 276</w:t>
            </w:r>
          </w:p>
        </w:tc>
      </w:tr>
      <w:tr w:rsidR="00C01D5D" w:rsidRPr="00C01D5D" w14:paraId="005D4F17" w14:textId="77777777" w:rsidTr="00D60920">
        <w:trPr>
          <w:trHeight w:val="294"/>
        </w:trPr>
        <w:tc>
          <w:tcPr>
            <w:tcW w:w="1546" w:type="dxa"/>
            <w:shd w:val="clear" w:color="auto" w:fill="F2F2F2" w:themeFill="background1" w:themeFillShade="F2"/>
            <w:noWrap/>
            <w:hideMark/>
          </w:tcPr>
          <w:p w14:paraId="49F1547E" w14:textId="1627ABFE"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w:t>
            </w:r>
            <w:r w:rsidR="007D4ED0">
              <w:rPr>
                <w:rFonts w:ascii="Aptos Narrow" w:eastAsia="Times New Roman" w:hAnsi="Aptos Narrow" w:cs="Times New Roman"/>
                <w:kern w:val="0"/>
                <w:sz w:val="22"/>
                <w:szCs w:val="22"/>
                <w:lang w:eastAsia="et-EE"/>
                <w14:ligatures w14:val="none"/>
              </w:rPr>
              <w:t xml:space="preserve"> </w:t>
            </w:r>
            <w:r w:rsidRPr="00C01D5D">
              <w:rPr>
                <w:rFonts w:ascii="Aptos Narrow" w:eastAsia="Times New Roman" w:hAnsi="Aptos Narrow" w:cs="Times New Roman"/>
                <w:kern w:val="0"/>
                <w:sz w:val="22"/>
                <w:szCs w:val="22"/>
                <w:lang w:eastAsia="et-EE"/>
                <w14:ligatures w14:val="none"/>
              </w:rPr>
              <w:t>III</w:t>
            </w:r>
            <w:r w:rsidR="007D4ED0">
              <w:rPr>
                <w:rFonts w:ascii="Aptos Narrow" w:eastAsia="Times New Roman" w:hAnsi="Aptos Narrow" w:cs="Times New Roman"/>
                <w:kern w:val="0"/>
                <w:sz w:val="22"/>
                <w:szCs w:val="22"/>
                <w:lang w:eastAsia="et-EE"/>
                <w14:ligatures w14:val="none"/>
              </w:rPr>
              <w:t>, n=50</w:t>
            </w:r>
          </w:p>
        </w:tc>
        <w:tc>
          <w:tcPr>
            <w:tcW w:w="1148" w:type="dxa"/>
            <w:shd w:val="clear" w:color="auto" w:fill="F2F2F2" w:themeFill="background1" w:themeFillShade="F2"/>
            <w:noWrap/>
            <w:hideMark/>
          </w:tcPr>
          <w:p w14:paraId="4A435065" w14:textId="49E43B06"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-732 410</w:t>
            </w:r>
          </w:p>
        </w:tc>
        <w:tc>
          <w:tcPr>
            <w:tcW w:w="1417" w:type="dxa"/>
            <w:shd w:val="clear" w:color="auto" w:fill="F2F2F2" w:themeFill="background1" w:themeFillShade="F2"/>
            <w:noWrap/>
            <w:hideMark/>
          </w:tcPr>
          <w:p w14:paraId="13701EBE" w14:textId="0B593B02"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-1 775 114</w:t>
            </w:r>
          </w:p>
        </w:tc>
        <w:tc>
          <w:tcPr>
            <w:tcW w:w="1418" w:type="dxa"/>
            <w:shd w:val="clear" w:color="auto" w:fill="F2F2F2" w:themeFill="background1" w:themeFillShade="F2"/>
            <w:noWrap/>
            <w:hideMark/>
          </w:tcPr>
          <w:p w14:paraId="4F580FA7" w14:textId="6629D30C"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-227 912</w:t>
            </w:r>
          </w:p>
        </w:tc>
      </w:tr>
      <w:tr w:rsidR="00C01D5D" w:rsidRPr="00C01D5D" w14:paraId="6B1ED973" w14:textId="77777777" w:rsidTr="00D60920">
        <w:trPr>
          <w:trHeight w:val="294"/>
        </w:trPr>
        <w:tc>
          <w:tcPr>
            <w:tcW w:w="1546" w:type="dxa"/>
            <w:noWrap/>
            <w:hideMark/>
          </w:tcPr>
          <w:p w14:paraId="16AFDB88" w14:textId="24DAAE6F"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 III</w:t>
            </w:r>
            <w:r w:rsidR="00F820C4">
              <w:rPr>
                <w:rFonts w:ascii="Aptos Narrow" w:eastAsia="Times New Roman" w:hAnsi="Aptos Narrow" w:cs="Times New Roman"/>
                <w:kern w:val="0"/>
                <w:sz w:val="22"/>
                <w:szCs w:val="22"/>
                <w:lang w:eastAsia="et-EE"/>
                <w14:ligatures w14:val="none"/>
              </w:rPr>
              <w:t>,</w:t>
            </w:r>
            <w:r w:rsidR="007D4ED0">
              <w:rPr>
                <w:rFonts w:ascii="Aptos Narrow" w:eastAsia="Times New Roman" w:hAnsi="Aptos Narrow" w:cs="Times New Roman"/>
                <w:kern w:val="0"/>
                <w:sz w:val="22"/>
                <w:szCs w:val="22"/>
                <w:lang w:eastAsia="et-EE"/>
                <w14:ligatures w14:val="none"/>
              </w:rPr>
              <w:t xml:space="preserve"> n=75</w:t>
            </w:r>
          </w:p>
        </w:tc>
        <w:tc>
          <w:tcPr>
            <w:tcW w:w="1148" w:type="dxa"/>
            <w:noWrap/>
            <w:hideMark/>
          </w:tcPr>
          <w:p w14:paraId="7385B065" w14:textId="170D9323"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-659 326</w:t>
            </w:r>
          </w:p>
        </w:tc>
        <w:tc>
          <w:tcPr>
            <w:tcW w:w="1417" w:type="dxa"/>
            <w:noWrap/>
            <w:hideMark/>
          </w:tcPr>
          <w:p w14:paraId="6ACCFF8B" w14:textId="72DE50D1"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-1 690 243</w:t>
            </w:r>
          </w:p>
        </w:tc>
        <w:tc>
          <w:tcPr>
            <w:tcW w:w="1418" w:type="dxa"/>
            <w:noWrap/>
            <w:hideMark/>
          </w:tcPr>
          <w:p w14:paraId="55745648" w14:textId="1EBEC5BC"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-211 951</w:t>
            </w:r>
          </w:p>
        </w:tc>
      </w:tr>
      <w:tr w:rsidR="00C01D5D" w:rsidRPr="00C01D5D" w14:paraId="53B2A6BE" w14:textId="77777777" w:rsidTr="00D60920">
        <w:trPr>
          <w:trHeight w:val="294"/>
        </w:trPr>
        <w:tc>
          <w:tcPr>
            <w:tcW w:w="1546" w:type="dxa"/>
            <w:shd w:val="clear" w:color="auto" w:fill="F2F2F2" w:themeFill="background1" w:themeFillShade="F2"/>
            <w:noWrap/>
            <w:hideMark/>
          </w:tcPr>
          <w:p w14:paraId="1989140E" w14:textId="779A82ED" w:rsidR="00C01D5D" w:rsidRPr="00C01D5D" w:rsidRDefault="00C01D5D"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 IV</w:t>
            </w:r>
            <w:r w:rsidR="002007A4">
              <w:rPr>
                <w:rFonts w:ascii="Aptos Narrow" w:eastAsia="Times New Roman" w:hAnsi="Aptos Narrow" w:cs="Times New Roman"/>
                <w:kern w:val="0"/>
                <w:sz w:val="22"/>
                <w:szCs w:val="22"/>
                <w:lang w:eastAsia="et-EE"/>
                <w14:ligatures w14:val="none"/>
              </w:rPr>
              <w:t xml:space="preserve"> (</w:t>
            </w:r>
            <w:proofErr w:type="spellStart"/>
            <w:r w:rsidR="002007A4">
              <w:rPr>
                <w:rFonts w:ascii="Aptos Narrow" w:eastAsia="Times New Roman" w:hAnsi="Aptos Narrow" w:cs="Times New Roman"/>
                <w:kern w:val="0"/>
                <w:sz w:val="22"/>
                <w:szCs w:val="22"/>
                <w:lang w:eastAsia="et-EE"/>
                <w14:ligatures w14:val="none"/>
              </w:rPr>
              <w:t>max</w:t>
            </w:r>
            <w:proofErr w:type="spellEnd"/>
            <w:r w:rsidR="002007A4">
              <w:rPr>
                <w:rFonts w:ascii="Aptos Narrow" w:eastAsia="Times New Roman" w:hAnsi="Aptos Narrow" w:cs="Times New Roman"/>
                <w:kern w:val="0"/>
                <w:sz w:val="22"/>
                <w:szCs w:val="22"/>
                <w:lang w:eastAsia="et-EE"/>
                <w14:ligatures w14:val="none"/>
              </w:rPr>
              <w:t>)</w:t>
            </w:r>
          </w:p>
        </w:tc>
        <w:tc>
          <w:tcPr>
            <w:tcW w:w="1148" w:type="dxa"/>
            <w:shd w:val="clear" w:color="auto" w:fill="F2F2F2" w:themeFill="background1" w:themeFillShade="F2"/>
            <w:noWrap/>
            <w:hideMark/>
          </w:tcPr>
          <w:p w14:paraId="3AD3198E" w14:textId="4D260E4B"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-860 499</w:t>
            </w:r>
          </w:p>
        </w:tc>
        <w:tc>
          <w:tcPr>
            <w:tcW w:w="1417" w:type="dxa"/>
            <w:shd w:val="clear" w:color="auto" w:fill="F2F2F2" w:themeFill="background1" w:themeFillShade="F2"/>
            <w:noWrap/>
            <w:hideMark/>
          </w:tcPr>
          <w:p w14:paraId="4F882677" w14:textId="3F39AFC3"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-2 471 770</w:t>
            </w:r>
          </w:p>
        </w:tc>
        <w:tc>
          <w:tcPr>
            <w:tcW w:w="1418" w:type="dxa"/>
            <w:shd w:val="clear" w:color="auto" w:fill="F2F2F2" w:themeFill="background1" w:themeFillShade="F2"/>
            <w:noWrap/>
            <w:hideMark/>
          </w:tcPr>
          <w:p w14:paraId="353880D1" w14:textId="0F0FC4EF" w:rsidR="00C01D5D" w:rsidRPr="00C01D5D" w:rsidRDefault="00F84DFD" w:rsidP="00F84DFD">
            <w:pPr>
              <w:jc w:val="right"/>
              <w:rPr>
                <w:rFonts w:ascii="Aptos Narrow" w:eastAsia="Times New Roman" w:hAnsi="Aptos Narrow" w:cs="Times New Roman"/>
                <w:kern w:val="0"/>
                <w:sz w:val="22"/>
                <w:szCs w:val="22"/>
                <w:lang w:eastAsia="et-EE"/>
                <w14:ligatures w14:val="none"/>
              </w:rPr>
            </w:pPr>
            <w:r w:rsidRPr="00F84DFD">
              <w:t>-504 232</w:t>
            </w:r>
          </w:p>
        </w:tc>
      </w:tr>
      <w:tr w:rsidR="002007A4" w:rsidRPr="00C01D5D" w14:paraId="712688C5" w14:textId="77777777" w:rsidTr="00D60920">
        <w:trPr>
          <w:trHeight w:val="294"/>
        </w:trPr>
        <w:tc>
          <w:tcPr>
            <w:tcW w:w="1546" w:type="dxa"/>
            <w:noWrap/>
          </w:tcPr>
          <w:p w14:paraId="2A8A27DA" w14:textId="79154A95" w:rsidR="002007A4" w:rsidRPr="00C01D5D" w:rsidRDefault="002007A4" w:rsidP="00C01D5D">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NPV IV</w:t>
            </w:r>
            <w:r>
              <w:rPr>
                <w:rFonts w:ascii="Aptos Narrow" w:eastAsia="Times New Roman" w:hAnsi="Aptos Narrow" w:cs="Times New Roman"/>
                <w:kern w:val="0"/>
                <w:sz w:val="22"/>
                <w:szCs w:val="22"/>
                <w:lang w:eastAsia="et-EE"/>
                <w14:ligatures w14:val="none"/>
              </w:rPr>
              <w:t xml:space="preserve"> (min)</w:t>
            </w:r>
          </w:p>
        </w:tc>
        <w:tc>
          <w:tcPr>
            <w:tcW w:w="1148" w:type="dxa"/>
            <w:noWrap/>
          </w:tcPr>
          <w:p w14:paraId="11279A3C" w14:textId="650EC6A8" w:rsidR="002007A4" w:rsidRPr="002D23F1" w:rsidRDefault="00F84DFD" w:rsidP="00F84DFD">
            <w:pPr>
              <w:jc w:val="right"/>
            </w:pPr>
            <w:r w:rsidRPr="00F84DFD">
              <w:t>-49 034</w:t>
            </w:r>
          </w:p>
        </w:tc>
        <w:tc>
          <w:tcPr>
            <w:tcW w:w="1417" w:type="dxa"/>
            <w:noWrap/>
          </w:tcPr>
          <w:p w14:paraId="3754A093" w14:textId="6E8E2729" w:rsidR="002007A4" w:rsidRPr="002D23F1" w:rsidRDefault="00F84DFD" w:rsidP="00F84DFD">
            <w:pPr>
              <w:jc w:val="right"/>
            </w:pPr>
            <w:r w:rsidRPr="00F84DFD">
              <w:t>-852 298</w:t>
            </w:r>
          </w:p>
        </w:tc>
        <w:tc>
          <w:tcPr>
            <w:tcW w:w="1418" w:type="dxa"/>
            <w:noWrap/>
          </w:tcPr>
          <w:p w14:paraId="44A10AC2" w14:textId="521AC410" w:rsidR="002007A4" w:rsidRPr="002D23F1" w:rsidRDefault="00F84DFD" w:rsidP="00F84DFD">
            <w:pPr>
              <w:jc w:val="right"/>
            </w:pPr>
            <w:r w:rsidRPr="00F84DFD">
              <w:t>-200 126</w:t>
            </w:r>
          </w:p>
        </w:tc>
      </w:tr>
    </w:tbl>
    <w:p w14:paraId="50E18980" w14:textId="597D7C25" w:rsidR="00822D9E" w:rsidRPr="002448ED" w:rsidRDefault="002448ED" w:rsidP="00070BA1">
      <w:pPr>
        <w:rPr>
          <w:i/>
          <w:iCs/>
          <w:sz w:val="18"/>
          <w:szCs w:val="18"/>
        </w:rPr>
      </w:pPr>
      <w:r w:rsidRPr="002448ED">
        <w:rPr>
          <w:i/>
          <w:iCs/>
          <w:sz w:val="18"/>
          <w:szCs w:val="18"/>
        </w:rPr>
        <w:t>Allikas: autori arvutused</w:t>
      </w:r>
    </w:p>
    <w:p w14:paraId="44962A45" w14:textId="156057CC" w:rsidR="003B7512" w:rsidRDefault="00C57DA9" w:rsidP="006C4FEE">
      <w:pPr>
        <w:rPr>
          <w:szCs w:val="21"/>
        </w:rPr>
      </w:pPr>
      <w:r w:rsidRPr="00E27849">
        <w:rPr>
          <w:szCs w:val="21"/>
        </w:rPr>
        <w:t>Käesolevas baasarvutuses hõlmab CAPEX eeskätt korduskasutusnõude süsteemi jaoks vajalike seadmete ja taristu soetust ning kasutuselevõttu (nt pesulahendus ja sellega seotud seadmed, kogumis- ja sorteerimislahendused</w:t>
      </w:r>
      <w:r>
        <w:rPr>
          <w:szCs w:val="21"/>
        </w:rPr>
        <w:t xml:space="preserve"> ning</w:t>
      </w:r>
      <w:r w:rsidRPr="00E27849">
        <w:rPr>
          <w:szCs w:val="21"/>
        </w:rPr>
        <w:t xml:space="preserve"> </w:t>
      </w:r>
      <w:r>
        <w:rPr>
          <w:szCs w:val="21"/>
        </w:rPr>
        <w:t>korduskasutusnõude</w:t>
      </w:r>
      <w:r w:rsidRPr="00E27849">
        <w:rPr>
          <w:szCs w:val="21"/>
        </w:rPr>
        <w:t xml:space="preserve"> algvaru). CAPEX kajastub rahavoogudes investeeringu tegemise hetkel (tüüpiliselt projekti alguses), vähendades seeläbi </w:t>
      </w:r>
      <w:proofErr w:type="spellStart"/>
      <w:r w:rsidRPr="00E27849">
        <w:rPr>
          <w:szCs w:val="21"/>
        </w:rPr>
        <w:t>netonüüdisväärtust</w:t>
      </w:r>
      <w:proofErr w:type="spellEnd"/>
      <w:r w:rsidRPr="00E27849">
        <w:rPr>
          <w:szCs w:val="21"/>
        </w:rPr>
        <w:t>; mida suurem alginvesteering, seda suuremat kulude kokkuhoidu või täiendavat tulu on vaja, et NPV kujuneks positiivseks.</w:t>
      </w:r>
      <w:r>
        <w:rPr>
          <w:szCs w:val="21"/>
        </w:rPr>
        <w:t xml:space="preserve"> (Tabel 4)</w:t>
      </w:r>
    </w:p>
    <w:p w14:paraId="7F6731D0" w14:textId="63C2564F" w:rsidR="00090983" w:rsidRDefault="00090983" w:rsidP="00090983">
      <w:pPr>
        <w:pStyle w:val="Vahedeta"/>
      </w:pPr>
      <w:r w:rsidRPr="00BE3ED3">
        <w:rPr>
          <w:b/>
          <w:bCs/>
        </w:rPr>
        <w:t xml:space="preserve">Tabel </w:t>
      </w:r>
      <w:r w:rsidR="00C57DA9">
        <w:rPr>
          <w:b/>
          <w:bCs/>
        </w:rPr>
        <w:t>4</w:t>
      </w:r>
      <w:r w:rsidRPr="00BE3ED3">
        <w:rPr>
          <w:b/>
          <w:bCs/>
        </w:rPr>
        <w:t>.</w:t>
      </w:r>
      <w:r>
        <w:t xml:space="preserve"> </w:t>
      </w:r>
      <w:r w:rsidRPr="00822D9E">
        <w:t xml:space="preserve">CAPEX </w:t>
      </w:r>
      <w:r w:rsidR="00C43ADB">
        <w:t>teenuste</w:t>
      </w:r>
      <w:r>
        <w:t xml:space="preserve"> ja </w:t>
      </w:r>
      <w:r w:rsidRPr="00822D9E">
        <w:t>stsenaariumite lõikes</w:t>
      </w:r>
      <w:r w:rsidR="00C87A18">
        <w:t>, eurot</w:t>
      </w:r>
    </w:p>
    <w:tbl>
      <w:tblPr>
        <w:tblStyle w:val="Tabelilaad"/>
        <w:tblW w:w="5529" w:type="dxa"/>
        <w:tblLook w:val="04A0" w:firstRow="1" w:lastRow="0" w:firstColumn="1" w:lastColumn="0" w:noHBand="0" w:noVBand="1"/>
      </w:tblPr>
      <w:tblGrid>
        <w:gridCol w:w="1546"/>
        <w:gridCol w:w="1148"/>
        <w:gridCol w:w="1417"/>
        <w:gridCol w:w="1418"/>
      </w:tblGrid>
      <w:tr w:rsidR="00C57DA9" w:rsidRPr="00C01D5D" w14:paraId="6726E192" w14:textId="77777777" w:rsidTr="00B479A5">
        <w:trPr>
          <w:cnfStyle w:val="100000000000" w:firstRow="1" w:lastRow="0" w:firstColumn="0" w:lastColumn="0" w:oddVBand="0" w:evenVBand="0" w:oddHBand="0" w:evenHBand="0" w:firstRowFirstColumn="0" w:firstRowLastColumn="0" w:lastRowFirstColumn="0" w:lastRowLastColumn="0"/>
          <w:trHeight w:val="300"/>
        </w:trPr>
        <w:tc>
          <w:tcPr>
            <w:tcW w:w="1546" w:type="dxa"/>
            <w:noWrap/>
            <w:hideMark/>
          </w:tcPr>
          <w:p w14:paraId="27C83B53" w14:textId="77777777" w:rsidR="00C57DA9" w:rsidRPr="00C01D5D" w:rsidRDefault="00C57DA9" w:rsidP="00B479A5">
            <w:pPr>
              <w:jc w:val="left"/>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Stsenaariumid</w:t>
            </w:r>
          </w:p>
        </w:tc>
        <w:tc>
          <w:tcPr>
            <w:tcW w:w="1148" w:type="dxa"/>
            <w:noWrap/>
            <w:hideMark/>
          </w:tcPr>
          <w:p w14:paraId="479898D9" w14:textId="77777777" w:rsidR="00C57DA9" w:rsidRPr="00C01D5D" w:rsidRDefault="00C57DA9" w:rsidP="00B479A5">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Teenus1</w:t>
            </w:r>
          </w:p>
        </w:tc>
        <w:tc>
          <w:tcPr>
            <w:tcW w:w="1417" w:type="dxa"/>
            <w:noWrap/>
            <w:hideMark/>
          </w:tcPr>
          <w:p w14:paraId="442C916D" w14:textId="77777777" w:rsidR="00C57DA9" w:rsidRPr="00C01D5D" w:rsidRDefault="00C57DA9" w:rsidP="00B479A5">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Teenus2</w:t>
            </w:r>
          </w:p>
        </w:tc>
        <w:tc>
          <w:tcPr>
            <w:tcW w:w="1418" w:type="dxa"/>
            <w:noWrap/>
            <w:hideMark/>
          </w:tcPr>
          <w:p w14:paraId="7CD3DF35" w14:textId="77777777" w:rsidR="00C57DA9" w:rsidRPr="00C01D5D" w:rsidRDefault="00C57DA9" w:rsidP="00B479A5">
            <w:pPr>
              <w:jc w:val="center"/>
              <w:rPr>
                <w:rFonts w:ascii="Aptos Narrow" w:eastAsia="Times New Roman" w:hAnsi="Aptos Narrow" w:cs="Times New Roman"/>
                <w:kern w:val="0"/>
                <w:sz w:val="22"/>
                <w:szCs w:val="22"/>
                <w:lang w:eastAsia="et-EE"/>
                <w14:ligatures w14:val="none"/>
              </w:rPr>
            </w:pPr>
            <w:r w:rsidRPr="00C01D5D">
              <w:rPr>
                <w:rFonts w:ascii="Aptos Narrow" w:eastAsia="Times New Roman" w:hAnsi="Aptos Narrow" w:cs="Times New Roman"/>
                <w:kern w:val="0"/>
                <w:sz w:val="22"/>
                <w:szCs w:val="22"/>
                <w:lang w:eastAsia="et-EE"/>
                <w14:ligatures w14:val="none"/>
              </w:rPr>
              <w:t>Teenus3</w:t>
            </w:r>
          </w:p>
        </w:tc>
      </w:tr>
      <w:tr w:rsidR="00BA6F95" w:rsidRPr="00C01D5D" w14:paraId="166F2C45" w14:textId="77777777" w:rsidTr="00BA6F95">
        <w:trPr>
          <w:trHeight w:val="288"/>
        </w:trPr>
        <w:tc>
          <w:tcPr>
            <w:tcW w:w="1546" w:type="dxa"/>
            <w:noWrap/>
            <w:hideMark/>
          </w:tcPr>
          <w:p w14:paraId="59A89ED7" w14:textId="7DD82AA3" w:rsidR="00BA6F95" w:rsidRPr="00C01D5D" w:rsidRDefault="00BA6F95" w:rsidP="00BA6F95">
            <w:pPr>
              <w:jc w:val="left"/>
              <w:rPr>
                <w:rFonts w:ascii="Aptos Narrow" w:eastAsia="Times New Roman" w:hAnsi="Aptos Narrow" w:cs="Times New Roman"/>
                <w:kern w:val="0"/>
                <w:sz w:val="22"/>
                <w:szCs w:val="22"/>
                <w:lang w:eastAsia="et-EE"/>
                <w14:ligatures w14:val="none"/>
              </w:rPr>
            </w:pPr>
            <w:r w:rsidRPr="00C57DA9">
              <w:rPr>
                <w:rFonts w:eastAsia="Times New Roman" w:cs="Times New Roman"/>
                <w:kern w:val="0"/>
                <w:szCs w:val="21"/>
                <w:lang w:eastAsia="et-EE"/>
                <w14:ligatures w14:val="none"/>
              </w:rPr>
              <w:t>CAPEX II</w:t>
            </w:r>
          </w:p>
        </w:tc>
        <w:tc>
          <w:tcPr>
            <w:tcW w:w="1148" w:type="dxa"/>
            <w:noWrap/>
            <w:hideMark/>
          </w:tcPr>
          <w:p w14:paraId="34E28129" w14:textId="4375D869"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96 989</w:t>
            </w:r>
          </w:p>
        </w:tc>
        <w:tc>
          <w:tcPr>
            <w:tcW w:w="1417" w:type="dxa"/>
            <w:noWrap/>
            <w:hideMark/>
          </w:tcPr>
          <w:p w14:paraId="7081E0AD" w14:textId="501F0BD5"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268 924</w:t>
            </w:r>
          </w:p>
        </w:tc>
        <w:tc>
          <w:tcPr>
            <w:tcW w:w="1418" w:type="dxa"/>
            <w:noWrap/>
            <w:hideMark/>
          </w:tcPr>
          <w:p w14:paraId="4195446F" w14:textId="2B76A317"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10 252</w:t>
            </w:r>
          </w:p>
        </w:tc>
      </w:tr>
      <w:tr w:rsidR="00BA6F95" w:rsidRPr="00C01D5D" w14:paraId="7B70CCC0" w14:textId="77777777" w:rsidTr="00B479A5">
        <w:trPr>
          <w:trHeight w:val="300"/>
        </w:trPr>
        <w:tc>
          <w:tcPr>
            <w:tcW w:w="1546" w:type="dxa"/>
            <w:noWrap/>
            <w:hideMark/>
          </w:tcPr>
          <w:p w14:paraId="420213A8" w14:textId="2CC81DBA" w:rsidR="00BA6F95" w:rsidRPr="00C01D5D" w:rsidRDefault="00BA6F95" w:rsidP="00BA6F95">
            <w:pPr>
              <w:jc w:val="left"/>
              <w:rPr>
                <w:rFonts w:ascii="Aptos Narrow" w:eastAsia="Times New Roman" w:hAnsi="Aptos Narrow" w:cs="Times New Roman"/>
                <w:kern w:val="0"/>
                <w:sz w:val="22"/>
                <w:szCs w:val="22"/>
                <w:lang w:eastAsia="et-EE"/>
                <w14:ligatures w14:val="none"/>
              </w:rPr>
            </w:pPr>
            <w:r w:rsidRPr="00C57DA9">
              <w:rPr>
                <w:rFonts w:eastAsia="Times New Roman" w:cs="Times New Roman"/>
                <w:kern w:val="0"/>
                <w:szCs w:val="21"/>
                <w:lang w:eastAsia="et-EE"/>
                <w14:ligatures w14:val="none"/>
              </w:rPr>
              <w:t>CAPEX III</w:t>
            </w:r>
          </w:p>
        </w:tc>
        <w:tc>
          <w:tcPr>
            <w:tcW w:w="1148" w:type="dxa"/>
            <w:noWrap/>
            <w:hideMark/>
          </w:tcPr>
          <w:p w14:paraId="64B8DD89" w14:textId="0DE87331"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272 956</w:t>
            </w:r>
          </w:p>
        </w:tc>
        <w:tc>
          <w:tcPr>
            <w:tcW w:w="1417" w:type="dxa"/>
            <w:noWrap/>
            <w:hideMark/>
          </w:tcPr>
          <w:p w14:paraId="2317B1E1" w14:textId="41ED5E12"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283 419</w:t>
            </w:r>
          </w:p>
        </w:tc>
        <w:tc>
          <w:tcPr>
            <w:tcW w:w="1418" w:type="dxa"/>
            <w:noWrap/>
            <w:hideMark/>
          </w:tcPr>
          <w:p w14:paraId="5F0FC7CC" w14:textId="6288F238" w:rsidR="00BA6F95" w:rsidRPr="00C01D5D" w:rsidRDefault="00BA6F95" w:rsidP="00BA6F95">
            <w:pPr>
              <w:jc w:val="right"/>
              <w:rPr>
                <w:rFonts w:ascii="Aptos Narrow" w:eastAsia="Times New Roman" w:hAnsi="Aptos Narrow" w:cs="Times New Roman"/>
                <w:kern w:val="0"/>
                <w:sz w:val="22"/>
                <w:szCs w:val="22"/>
                <w:lang w:eastAsia="et-EE"/>
                <w14:ligatures w14:val="none"/>
              </w:rPr>
            </w:pPr>
            <w:r w:rsidRPr="00C57DA9">
              <w:rPr>
                <w:rFonts w:eastAsia="Times New Roman" w:cs="Times New Roman"/>
                <w:color w:val="000000"/>
                <w:kern w:val="0"/>
                <w:szCs w:val="21"/>
                <w:lang w:eastAsia="et-EE"/>
                <w14:ligatures w14:val="none"/>
              </w:rPr>
              <w:t>215 809</w:t>
            </w:r>
          </w:p>
        </w:tc>
      </w:tr>
    </w:tbl>
    <w:p w14:paraId="23DCDEC4" w14:textId="77777777" w:rsidR="00BA6F95" w:rsidRPr="002448ED" w:rsidRDefault="00BA6F95" w:rsidP="00BA6F95">
      <w:pPr>
        <w:rPr>
          <w:i/>
          <w:iCs/>
          <w:sz w:val="18"/>
          <w:szCs w:val="18"/>
        </w:rPr>
      </w:pPr>
      <w:r w:rsidRPr="002448ED">
        <w:rPr>
          <w:i/>
          <w:iCs/>
          <w:sz w:val="18"/>
          <w:szCs w:val="18"/>
        </w:rPr>
        <w:t>Allikas: autori arvutused</w:t>
      </w:r>
    </w:p>
    <w:p w14:paraId="6936CA33" w14:textId="22D9A037" w:rsidR="006C633A" w:rsidRPr="006C633A" w:rsidRDefault="006C633A" w:rsidP="006C4FEE">
      <w:pPr>
        <w:rPr>
          <w:szCs w:val="21"/>
        </w:rPr>
      </w:pPr>
      <w:r w:rsidRPr="006C633A">
        <w:rPr>
          <w:szCs w:val="21"/>
        </w:rPr>
        <w:t xml:space="preserve">Tabel </w:t>
      </w:r>
      <w:r w:rsidR="00C57DA9">
        <w:rPr>
          <w:szCs w:val="21"/>
        </w:rPr>
        <w:t>4</w:t>
      </w:r>
      <w:r w:rsidRPr="006C633A">
        <w:rPr>
          <w:szCs w:val="21"/>
        </w:rPr>
        <w:t xml:space="preserve"> näitab, et kohapealse pesu (II) CAPEX on üldjuhul madalam, sest investeeringud piirduvad ühe teeninduskoha või ettevõtte tasemel vajaliku lahendusega. Tsentraalse pesu (III) CAPEX on kõrgem, kuna eeldab suurema võimekusega (ja sageli standardiseeritud) taristut ning lisaprotsesse kogumis- ja käsitlusahelas. See investeeringuprofiil tähendab, et III stsenaariumi kulutõhusus sõltub tugevamalt teenuse mahu koondumisest: kui teenusemaht on väike või võrk killustunud, jaotub CAPEX väheste kasutuskordade peale ning NPV jääb negatiivseks; piisava mahu ja koondumise korral saab investeeringu ühikukulu langeda ning majanduslik tulemus paraneda.</w:t>
      </w:r>
    </w:p>
    <w:p w14:paraId="7764E53D" w14:textId="21FA5297" w:rsidR="00F00B50" w:rsidRDefault="001A53B2" w:rsidP="00070BA1">
      <w:pPr>
        <w:rPr>
          <w:szCs w:val="21"/>
        </w:rPr>
      </w:pPr>
      <w:r>
        <w:rPr>
          <w:szCs w:val="21"/>
        </w:rPr>
        <w:t>Erinevad uuringu t</w:t>
      </w:r>
      <w:r w:rsidRPr="001A53B2">
        <w:rPr>
          <w:szCs w:val="21"/>
        </w:rPr>
        <w:t xml:space="preserve">ulemused viitavad, et suletud süsteemides sõltub kulutõhusus eeskätt ringluse korraldusest: kohapealne tarbimine lihtsustab tagastuslogistikat ja vähendab transpordimõju, samas kui pikem kogumise–veo–pesu ahel kasvatab süsteemikulusid. </w:t>
      </w:r>
      <w:r w:rsidR="008D4CE5">
        <w:rPr>
          <w:rStyle w:val="Allmrkuseviide"/>
          <w:szCs w:val="21"/>
        </w:rPr>
        <w:footnoteReference w:id="9"/>
      </w:r>
      <w:r w:rsidR="008D4CE5">
        <w:rPr>
          <w:szCs w:val="21"/>
        </w:rPr>
        <w:t xml:space="preserve"> </w:t>
      </w:r>
      <w:r w:rsidR="008D4CE5">
        <w:rPr>
          <w:rStyle w:val="Allmrkuseviide"/>
          <w:szCs w:val="21"/>
        </w:rPr>
        <w:footnoteReference w:id="10"/>
      </w:r>
    </w:p>
    <w:p w14:paraId="74BB4B05" w14:textId="49322862" w:rsidR="00F00B50" w:rsidRPr="00F00B50" w:rsidRDefault="00116660" w:rsidP="00663E9A">
      <w:pPr>
        <w:pStyle w:val="Pealkiri3"/>
        <w:numPr>
          <w:ilvl w:val="2"/>
          <w:numId w:val="28"/>
        </w:numPr>
        <w:rPr>
          <w:szCs w:val="21"/>
        </w:rPr>
      </w:pPr>
      <w:bookmarkStart w:id="8" w:name="_Toc228177586"/>
      <w:r>
        <w:t>Ü</w:t>
      </w:r>
      <w:r w:rsidR="00F00B50" w:rsidRPr="00F00B50">
        <w:t>hikukulu võrdlus</w:t>
      </w:r>
      <w:r>
        <w:t xml:space="preserve"> </w:t>
      </w:r>
      <w:r w:rsidRPr="00F00B50">
        <w:t>OPEX</w:t>
      </w:r>
      <w:r w:rsidR="000A6080">
        <w:t>-i</w:t>
      </w:r>
      <w:r>
        <w:t xml:space="preserve"> alusel</w:t>
      </w:r>
      <w:bookmarkEnd w:id="8"/>
    </w:p>
    <w:p w14:paraId="79C236F7" w14:textId="7B35CBA8" w:rsidR="00836190" w:rsidRPr="00D0390C" w:rsidRDefault="00475417" w:rsidP="00D0390C">
      <w:bookmarkStart w:id="9" w:name="_Hlk221006088"/>
      <w:r w:rsidRPr="00475417">
        <w:t>Tabel 5 koondab perioodi 2027–2031 keskmise OPEX</w:t>
      </w:r>
      <w:r w:rsidR="000A6080">
        <w:t>-i</w:t>
      </w:r>
      <w:r w:rsidRPr="00475417">
        <w:t xml:space="preserve"> kasutuskorrale ning näitab kulude struktuuri (eurot/kasutuskord ja osatähtsus) BAU ning sekkumisstsenaariumite II–IV lõikes kolme juhtum</w:t>
      </w:r>
      <w:r>
        <w:t>i</w:t>
      </w:r>
      <w:r w:rsidRPr="00475417">
        <w:t xml:space="preserve"> (Teenus1–3) vaates. Tabelis on toodud nii OPEX kogutase kui ka selle kujunemist määravad kulukomponendid, eristades </w:t>
      </w:r>
      <w:proofErr w:type="spellStart"/>
      <w:r w:rsidRPr="00475417">
        <w:t>BAU-s</w:t>
      </w:r>
      <w:proofErr w:type="spellEnd"/>
      <w:r w:rsidRPr="00475417">
        <w:t xml:space="preserve"> domineerivaid ühekordsete pakendite ja jäätmekäitluse kulusid korduskasutussüsteemi käitamiseks vajalike kuludega (pesu, kogumine ja sorteerimine, logistika, asendus jm). Samuti võrreldakse kahte pakendi eluea eeldust – </w:t>
      </w:r>
      <w:r w:rsidR="00934F0F">
        <w:t xml:space="preserve">n </w:t>
      </w:r>
      <w:r w:rsidRPr="00475417">
        <w:t>=</w:t>
      </w:r>
      <w:r w:rsidR="00934F0F">
        <w:t xml:space="preserve"> </w:t>
      </w:r>
      <w:r w:rsidRPr="00475417">
        <w:t>50 ja n</w:t>
      </w:r>
      <w:r w:rsidR="00934F0F">
        <w:t xml:space="preserve"> </w:t>
      </w:r>
      <w:r w:rsidRPr="00475417">
        <w:t>=</w:t>
      </w:r>
      <w:r w:rsidR="00934F0F">
        <w:t xml:space="preserve"> </w:t>
      </w:r>
      <w:r w:rsidRPr="00475417">
        <w:t>75 kasutuskorda.</w:t>
      </w:r>
    </w:p>
    <w:p w14:paraId="4B9520D7" w14:textId="5289A3BF" w:rsidR="00600DCA" w:rsidRDefault="00F00B50" w:rsidP="002D2851">
      <w:pPr>
        <w:pStyle w:val="Vahedeta"/>
      </w:pPr>
      <w:r w:rsidRPr="008D4CE5">
        <w:rPr>
          <w:b/>
          <w:bCs/>
        </w:rPr>
        <w:lastRenderedPageBreak/>
        <w:t xml:space="preserve">Tabel </w:t>
      </w:r>
      <w:r w:rsidR="00526E3D">
        <w:rPr>
          <w:b/>
          <w:bCs/>
        </w:rPr>
        <w:t>5</w:t>
      </w:r>
      <w:r w:rsidRPr="008D4CE5">
        <w:rPr>
          <w:b/>
          <w:bCs/>
        </w:rPr>
        <w:t>.</w:t>
      </w:r>
      <w:r>
        <w:t xml:space="preserve"> </w:t>
      </w:r>
      <w:r w:rsidR="000B311B" w:rsidRPr="000B311B">
        <w:t xml:space="preserve">Keskmine </w:t>
      </w:r>
      <w:r w:rsidR="00C43ADB">
        <w:t>tegevuskulu (</w:t>
      </w:r>
      <w:r w:rsidR="000B311B" w:rsidRPr="000B311B">
        <w:t>OPEX</w:t>
      </w:r>
      <w:r w:rsidR="00C43ADB">
        <w:t>)</w:t>
      </w:r>
      <w:r w:rsidR="000B311B" w:rsidRPr="000B311B">
        <w:t xml:space="preserve"> ühikukulu </w:t>
      </w:r>
      <w:r w:rsidR="00F96595">
        <w:t xml:space="preserve">ja kulukomponentide osatähtsus </w:t>
      </w:r>
      <w:r w:rsidR="000B311B" w:rsidRPr="000B311B">
        <w:t>perioodil 2027–20</w:t>
      </w:r>
      <w:r w:rsidR="00C238B2">
        <w:t>31</w:t>
      </w:r>
      <w:r w:rsidR="000B311B">
        <w:t xml:space="preserve"> teenuste ja stsenaariumite lõikes</w:t>
      </w:r>
      <w:r w:rsidR="00F96595">
        <w:t xml:space="preserve"> kahel pakendi eluea eeldusel (n</w:t>
      </w:r>
      <w:r w:rsidR="00934F0F">
        <w:t xml:space="preserve"> </w:t>
      </w:r>
      <w:r w:rsidR="00F96595">
        <w:t>= korduspakendi kasutuskordade arv)</w:t>
      </w:r>
      <w:r w:rsidR="00CA4E19">
        <w:t xml:space="preserve"> </w:t>
      </w:r>
      <w:r w:rsidR="00CA4E19" w:rsidRPr="002007A4">
        <w:t>ning IV stsenaariumi täisteenuse hinna miinimum</w:t>
      </w:r>
      <w:r w:rsidR="00CA4E19" w:rsidRPr="002007A4">
        <w:rPr>
          <w:rFonts w:ascii="Cambria Math" w:hAnsi="Cambria Math" w:cs="Cambria Math"/>
        </w:rPr>
        <w:t>‑</w:t>
      </w:r>
      <w:r w:rsidR="00CA4E19" w:rsidRPr="002007A4">
        <w:t xml:space="preserve"> ja maksimumv</w:t>
      </w:r>
      <w:r w:rsidR="00CA4E19" w:rsidRPr="002007A4">
        <w:rPr>
          <w:rFonts w:ascii="Aptos" w:hAnsi="Aptos" w:cs="Aptos"/>
        </w:rPr>
        <w:t>ää</w:t>
      </w:r>
      <w:r w:rsidR="00CA4E19" w:rsidRPr="002007A4">
        <w:t>rtuste rakendamisel</w:t>
      </w:r>
      <w:r w:rsidR="000B311B">
        <w:t>, eur</w:t>
      </w:r>
      <w:r w:rsidR="00611DB7">
        <w:t>ot</w:t>
      </w:r>
      <w:r w:rsidR="000B311B" w:rsidRPr="000B311B">
        <w:t>/kasutuskord</w:t>
      </w:r>
      <w:bookmarkEnd w:id="9"/>
      <w:r w:rsidR="00DE7A1A">
        <w:t xml:space="preserve"> ja osatähtsus (%)</w:t>
      </w:r>
      <w:r w:rsidR="006C022B">
        <w:t xml:space="preserve"> </w:t>
      </w:r>
    </w:p>
    <w:tbl>
      <w:tblPr>
        <w:tblStyle w:val="Tabelilaad"/>
        <w:tblW w:w="5000" w:type="pct"/>
        <w:tblLook w:val="04A0" w:firstRow="1" w:lastRow="0" w:firstColumn="1" w:lastColumn="0" w:noHBand="0" w:noVBand="1"/>
      </w:tblPr>
      <w:tblGrid>
        <w:gridCol w:w="1780"/>
        <w:gridCol w:w="718"/>
        <w:gridCol w:w="620"/>
        <w:gridCol w:w="624"/>
        <w:gridCol w:w="620"/>
        <w:gridCol w:w="624"/>
        <w:gridCol w:w="620"/>
        <w:gridCol w:w="624"/>
        <w:gridCol w:w="624"/>
        <w:gridCol w:w="624"/>
        <w:gridCol w:w="622"/>
        <w:gridCol w:w="624"/>
        <w:gridCol w:w="620"/>
      </w:tblGrid>
      <w:tr w:rsidR="00285AD2" w:rsidRPr="00605961" w14:paraId="46218F14" w14:textId="77777777" w:rsidTr="00826176">
        <w:trPr>
          <w:cnfStyle w:val="100000000000" w:firstRow="1" w:lastRow="0" w:firstColumn="0" w:lastColumn="0" w:oddVBand="0" w:evenVBand="0" w:oddHBand="0" w:evenHBand="0" w:firstRowFirstColumn="0" w:firstRowLastColumn="0" w:lastRowFirstColumn="0" w:lastRowLastColumn="0"/>
          <w:trHeight w:val="300"/>
        </w:trPr>
        <w:tc>
          <w:tcPr>
            <w:tcW w:w="951" w:type="pct"/>
            <w:vMerge w:val="restart"/>
            <w:tcBorders>
              <w:top w:val="single" w:sz="4" w:space="0" w:color="FFFFFF"/>
              <w:left w:val="single" w:sz="4" w:space="0" w:color="FFFFFF"/>
              <w:bottom w:val="single" w:sz="4" w:space="0" w:color="auto"/>
              <w:right w:val="single" w:sz="4" w:space="0" w:color="FFFFFF"/>
            </w:tcBorders>
            <w:shd w:val="clear" w:color="auto" w:fill="0070C0"/>
            <w:hideMark/>
          </w:tcPr>
          <w:p w14:paraId="08110C13" w14:textId="77777777" w:rsidR="00285AD2" w:rsidRPr="00605961" w:rsidRDefault="00285AD2" w:rsidP="00285AD2">
            <w:pPr>
              <w:jc w:val="left"/>
              <w:rPr>
                <w:rFonts w:eastAsia="Times New Roman" w:cs="Times New Roman"/>
                <w:kern w:val="0"/>
                <w:sz w:val="16"/>
                <w:szCs w:val="16"/>
                <w:lang w:eastAsia="et-EE"/>
                <w14:ligatures w14:val="none"/>
              </w:rPr>
            </w:pPr>
            <w:r w:rsidRPr="00605961">
              <w:rPr>
                <w:rFonts w:eastAsia="Times New Roman" w:cs="Times New Roman"/>
                <w:kern w:val="0"/>
                <w:sz w:val="16"/>
                <w:szCs w:val="16"/>
                <w:lang w:eastAsia="et-EE"/>
                <w14:ligatures w14:val="none"/>
              </w:rPr>
              <w:t xml:space="preserve">Jooksvad tegevuskulud (OPEX) </w:t>
            </w:r>
          </w:p>
        </w:tc>
        <w:tc>
          <w:tcPr>
            <w:tcW w:w="1382" w:type="pct"/>
            <w:gridSpan w:val="4"/>
            <w:tcBorders>
              <w:top w:val="single" w:sz="4" w:space="0" w:color="FFFFFF"/>
              <w:left w:val="single" w:sz="4" w:space="0" w:color="FFFFFF"/>
              <w:bottom w:val="single" w:sz="4" w:space="0" w:color="FFFFFF"/>
              <w:right w:val="single" w:sz="4" w:space="0" w:color="FFFFFF"/>
            </w:tcBorders>
            <w:shd w:val="clear" w:color="auto" w:fill="0070C0"/>
            <w:noWrap/>
            <w:hideMark/>
          </w:tcPr>
          <w:p w14:paraId="1108DD24" w14:textId="77777777" w:rsidR="00285AD2" w:rsidRPr="00605961" w:rsidRDefault="00285AD2" w:rsidP="00285AD2">
            <w:pPr>
              <w:jc w:val="center"/>
              <w:rPr>
                <w:rFonts w:eastAsia="Times New Roman" w:cs="Times New Roman"/>
                <w:kern w:val="0"/>
                <w:sz w:val="16"/>
                <w:szCs w:val="16"/>
                <w:lang w:eastAsia="et-EE"/>
                <w14:ligatures w14:val="none"/>
              </w:rPr>
            </w:pPr>
            <w:r w:rsidRPr="00605961">
              <w:rPr>
                <w:rFonts w:eastAsia="Times New Roman" w:cs="Times New Roman"/>
                <w:kern w:val="0"/>
                <w:sz w:val="16"/>
                <w:szCs w:val="16"/>
                <w:lang w:eastAsia="et-EE"/>
                <w14:ligatures w14:val="none"/>
              </w:rPr>
              <w:t>Teenus1</w:t>
            </w:r>
          </w:p>
        </w:tc>
        <w:tc>
          <w:tcPr>
            <w:tcW w:w="1334" w:type="pct"/>
            <w:gridSpan w:val="4"/>
            <w:tcBorders>
              <w:top w:val="single" w:sz="4" w:space="0" w:color="FFFFFF"/>
              <w:left w:val="single" w:sz="4" w:space="0" w:color="FFFFFF"/>
              <w:bottom w:val="single" w:sz="4" w:space="0" w:color="FFFFFF"/>
              <w:right w:val="single" w:sz="4" w:space="0" w:color="FFFFFF"/>
            </w:tcBorders>
            <w:shd w:val="clear" w:color="auto" w:fill="0070C0"/>
            <w:noWrap/>
            <w:hideMark/>
          </w:tcPr>
          <w:p w14:paraId="1C187650" w14:textId="77777777" w:rsidR="00285AD2" w:rsidRPr="00605961" w:rsidRDefault="00285AD2" w:rsidP="00285AD2">
            <w:pPr>
              <w:jc w:val="center"/>
              <w:rPr>
                <w:rFonts w:eastAsia="Times New Roman" w:cs="Times New Roman"/>
                <w:kern w:val="0"/>
                <w:sz w:val="16"/>
                <w:szCs w:val="16"/>
                <w:lang w:eastAsia="et-EE"/>
                <w14:ligatures w14:val="none"/>
              </w:rPr>
            </w:pPr>
            <w:r w:rsidRPr="00605961">
              <w:rPr>
                <w:rFonts w:eastAsia="Times New Roman" w:cs="Times New Roman"/>
                <w:kern w:val="0"/>
                <w:sz w:val="16"/>
                <w:szCs w:val="16"/>
                <w:lang w:eastAsia="et-EE"/>
                <w14:ligatures w14:val="none"/>
              </w:rPr>
              <w:t>Teenus2</w:t>
            </w:r>
          </w:p>
        </w:tc>
        <w:tc>
          <w:tcPr>
            <w:tcW w:w="1332" w:type="pct"/>
            <w:gridSpan w:val="4"/>
            <w:tcBorders>
              <w:top w:val="single" w:sz="4" w:space="0" w:color="FFFFFF"/>
              <w:left w:val="single" w:sz="4" w:space="0" w:color="FFFFFF"/>
              <w:bottom w:val="single" w:sz="4" w:space="0" w:color="FFFFFF"/>
              <w:right w:val="single" w:sz="4" w:space="0" w:color="FFFFFF"/>
            </w:tcBorders>
            <w:shd w:val="clear" w:color="auto" w:fill="0070C0"/>
            <w:noWrap/>
            <w:hideMark/>
          </w:tcPr>
          <w:p w14:paraId="717F926F" w14:textId="77777777" w:rsidR="00285AD2" w:rsidRPr="00605961" w:rsidRDefault="00285AD2" w:rsidP="00285AD2">
            <w:pPr>
              <w:jc w:val="center"/>
              <w:rPr>
                <w:rFonts w:eastAsia="Times New Roman" w:cs="Times New Roman"/>
                <w:kern w:val="0"/>
                <w:sz w:val="16"/>
                <w:szCs w:val="16"/>
                <w:lang w:eastAsia="et-EE"/>
                <w14:ligatures w14:val="none"/>
              </w:rPr>
            </w:pPr>
            <w:r w:rsidRPr="00605961">
              <w:rPr>
                <w:rFonts w:eastAsia="Times New Roman" w:cs="Times New Roman"/>
                <w:kern w:val="0"/>
                <w:sz w:val="16"/>
                <w:szCs w:val="16"/>
                <w:lang w:eastAsia="et-EE"/>
                <w14:ligatures w14:val="none"/>
              </w:rPr>
              <w:t>Teenus3</w:t>
            </w:r>
          </w:p>
        </w:tc>
      </w:tr>
      <w:tr w:rsidR="00826176" w:rsidRPr="00605961" w14:paraId="7641805D" w14:textId="77777777" w:rsidTr="00826176">
        <w:trPr>
          <w:trHeight w:val="300"/>
        </w:trPr>
        <w:tc>
          <w:tcPr>
            <w:tcW w:w="951" w:type="pct"/>
            <w:vMerge/>
            <w:tcBorders>
              <w:top w:val="single" w:sz="4" w:space="0" w:color="auto"/>
              <w:left w:val="single" w:sz="4" w:space="0" w:color="FFFFFF"/>
              <w:bottom w:val="single" w:sz="4" w:space="0" w:color="FFFFFF"/>
              <w:right w:val="single" w:sz="4" w:space="0" w:color="FFFFFF"/>
            </w:tcBorders>
            <w:shd w:val="clear" w:color="auto" w:fill="0070C0"/>
            <w:hideMark/>
          </w:tcPr>
          <w:p w14:paraId="107ADBB1" w14:textId="77777777" w:rsidR="00285AD2" w:rsidRPr="00605961" w:rsidRDefault="00285AD2" w:rsidP="00285AD2">
            <w:pPr>
              <w:jc w:val="left"/>
              <w:rPr>
                <w:rFonts w:eastAsia="Times New Roman" w:cs="Times New Roman"/>
                <w:b/>
                <w:color w:val="FFFFFF" w:themeColor="background1"/>
                <w:kern w:val="0"/>
                <w:sz w:val="16"/>
                <w:szCs w:val="16"/>
                <w:lang w:eastAsia="et-EE"/>
                <w14:ligatures w14:val="none"/>
              </w:rPr>
            </w:pPr>
          </w:p>
        </w:tc>
        <w:tc>
          <w:tcPr>
            <w:tcW w:w="716"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544ADE94" w14:textId="2FAD8E76"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50</w:t>
            </w:r>
          </w:p>
        </w:tc>
        <w:tc>
          <w:tcPr>
            <w:tcW w:w="666"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5749C654" w14:textId="0F5BD3E6"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75</w:t>
            </w:r>
          </w:p>
        </w:tc>
        <w:tc>
          <w:tcPr>
            <w:tcW w:w="666"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444A7A4E" w14:textId="6443B301"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50</w:t>
            </w:r>
          </w:p>
        </w:tc>
        <w:tc>
          <w:tcPr>
            <w:tcW w:w="668"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7842CA7D" w14:textId="0B9F3850"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75</w:t>
            </w:r>
          </w:p>
        </w:tc>
        <w:tc>
          <w:tcPr>
            <w:tcW w:w="667"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355F1A8B" w14:textId="3228D121"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50</w:t>
            </w:r>
          </w:p>
        </w:tc>
        <w:tc>
          <w:tcPr>
            <w:tcW w:w="665" w:type="pct"/>
            <w:gridSpan w:val="2"/>
            <w:tcBorders>
              <w:top w:val="single" w:sz="4" w:space="0" w:color="FFFFFF"/>
              <w:left w:val="single" w:sz="4" w:space="0" w:color="FFFFFF"/>
              <w:bottom w:val="single" w:sz="4" w:space="0" w:color="FFFFFF"/>
              <w:right w:val="single" w:sz="4" w:space="0" w:color="FFFFFF"/>
            </w:tcBorders>
            <w:shd w:val="clear" w:color="auto" w:fill="0070C0"/>
            <w:noWrap/>
            <w:hideMark/>
          </w:tcPr>
          <w:p w14:paraId="1C8A0729" w14:textId="27EF363B" w:rsidR="00285AD2" w:rsidRPr="00605961" w:rsidRDefault="00C43ADB" w:rsidP="00C41999">
            <w:pPr>
              <w:jc w:val="center"/>
              <w:rPr>
                <w:rFonts w:eastAsia="Times New Roman" w:cs="Times New Roman"/>
                <w:b/>
                <w:color w:val="FFFFFF" w:themeColor="background1"/>
                <w:kern w:val="0"/>
                <w:sz w:val="16"/>
                <w:szCs w:val="16"/>
                <w:lang w:eastAsia="et-EE"/>
                <w14:ligatures w14:val="none"/>
              </w:rPr>
            </w:pPr>
            <w:r>
              <w:rPr>
                <w:rFonts w:eastAsia="Times New Roman" w:cs="Times New Roman"/>
                <w:b/>
                <w:color w:val="FFFFFF" w:themeColor="background1"/>
                <w:kern w:val="0"/>
                <w:sz w:val="16"/>
                <w:szCs w:val="16"/>
                <w:lang w:eastAsia="et-EE"/>
                <w14:ligatures w14:val="none"/>
              </w:rPr>
              <w:t xml:space="preserve">n </w:t>
            </w:r>
            <w:r w:rsidR="00285AD2" w:rsidRPr="00605961">
              <w:rPr>
                <w:rFonts w:eastAsia="Times New Roman" w:cs="Times New Roman"/>
                <w:b/>
                <w:color w:val="FFFFFF" w:themeColor="background1"/>
                <w:kern w:val="0"/>
                <w:sz w:val="16"/>
                <w:szCs w:val="16"/>
                <w:lang w:eastAsia="et-EE"/>
                <w14:ligatures w14:val="none"/>
              </w:rPr>
              <w:t>=</w:t>
            </w:r>
            <w:r>
              <w:rPr>
                <w:rFonts w:eastAsia="Times New Roman" w:cs="Times New Roman"/>
                <w:b/>
                <w:color w:val="FFFFFF" w:themeColor="background1"/>
                <w:kern w:val="0"/>
                <w:sz w:val="16"/>
                <w:szCs w:val="16"/>
                <w:lang w:eastAsia="et-EE"/>
                <w14:ligatures w14:val="none"/>
              </w:rPr>
              <w:t xml:space="preserve"> </w:t>
            </w:r>
            <w:r w:rsidR="00285AD2" w:rsidRPr="00605961">
              <w:rPr>
                <w:rFonts w:eastAsia="Times New Roman" w:cs="Times New Roman"/>
                <w:b/>
                <w:color w:val="FFFFFF" w:themeColor="background1"/>
                <w:kern w:val="0"/>
                <w:sz w:val="16"/>
                <w:szCs w:val="16"/>
                <w:lang w:eastAsia="et-EE"/>
                <w14:ligatures w14:val="none"/>
              </w:rPr>
              <w:t>75</w:t>
            </w:r>
          </w:p>
        </w:tc>
      </w:tr>
      <w:tr w:rsidR="00826176" w:rsidRPr="00605961" w14:paraId="3758ADAF" w14:textId="77777777" w:rsidTr="00826176">
        <w:trPr>
          <w:trHeight w:val="300"/>
        </w:trPr>
        <w:tc>
          <w:tcPr>
            <w:tcW w:w="951" w:type="pct"/>
            <w:tcBorders>
              <w:top w:val="single" w:sz="4" w:space="0" w:color="FFFFFF"/>
              <w:left w:val="single" w:sz="4" w:space="0" w:color="FFFFFF"/>
              <w:bottom w:val="single" w:sz="4" w:space="0" w:color="FFFFFF"/>
              <w:right w:val="single" w:sz="4" w:space="0" w:color="FFFFFF"/>
            </w:tcBorders>
            <w:shd w:val="clear" w:color="auto" w:fill="0070C0"/>
          </w:tcPr>
          <w:p w14:paraId="7D797BBF" w14:textId="77777777" w:rsidR="00611DB7" w:rsidRPr="00605961" w:rsidRDefault="00611DB7" w:rsidP="00605961">
            <w:pPr>
              <w:jc w:val="left"/>
              <w:rPr>
                <w:rFonts w:eastAsia="Times New Roman" w:cs="Times New Roman"/>
                <w:color w:val="000000"/>
                <w:kern w:val="0"/>
                <w:sz w:val="16"/>
                <w:szCs w:val="16"/>
                <w:lang w:eastAsia="et-EE"/>
                <w14:ligatures w14:val="none"/>
              </w:rPr>
            </w:pPr>
          </w:p>
        </w:tc>
        <w:tc>
          <w:tcPr>
            <w:tcW w:w="384" w:type="pct"/>
            <w:tcBorders>
              <w:top w:val="single" w:sz="4" w:space="0" w:color="FFFFFF"/>
              <w:left w:val="single" w:sz="4" w:space="0" w:color="FFFFFF"/>
              <w:bottom w:val="single" w:sz="4" w:space="0" w:color="FFFFFF"/>
              <w:right w:val="single" w:sz="4" w:space="0" w:color="FFFFFF"/>
            </w:tcBorders>
            <w:shd w:val="clear" w:color="auto" w:fill="0070C0"/>
            <w:noWrap/>
          </w:tcPr>
          <w:p w14:paraId="388D3ACF" w14:textId="204F2F21" w:rsidR="00611DB7" w:rsidRPr="00611DB7" w:rsidRDefault="00611DB7" w:rsidP="00611DB7">
            <w:pPr>
              <w:jc w:val="center"/>
              <w:rPr>
                <w:b/>
                <w:bCs/>
                <w:color w:val="FFFFFF" w:themeColor="background1"/>
                <w:sz w:val="16"/>
                <w:szCs w:val="16"/>
              </w:rPr>
            </w:pPr>
            <w:r w:rsidRPr="00611DB7">
              <w:rPr>
                <w:b/>
                <w:bCs/>
                <w:color w:val="FFFFFF" w:themeColor="background1"/>
                <w:sz w:val="16"/>
                <w:szCs w:val="16"/>
              </w:rPr>
              <w:t>eur</w:t>
            </w:r>
            <w:r>
              <w:rPr>
                <w:b/>
                <w:bCs/>
                <w:color w:val="FFFFFF" w:themeColor="background1"/>
                <w:sz w:val="16"/>
                <w:szCs w:val="16"/>
              </w:rPr>
              <w:t>ot</w:t>
            </w:r>
          </w:p>
        </w:tc>
        <w:tc>
          <w:tcPr>
            <w:tcW w:w="332" w:type="pct"/>
            <w:tcBorders>
              <w:top w:val="single" w:sz="4" w:space="0" w:color="FFFFFF"/>
              <w:left w:val="single" w:sz="4" w:space="0" w:color="FFFFFF"/>
              <w:bottom w:val="single" w:sz="4" w:space="0" w:color="FFFFFF"/>
              <w:right w:val="single" w:sz="4" w:space="0" w:color="FFFFFF"/>
            </w:tcBorders>
            <w:shd w:val="clear" w:color="auto" w:fill="0070C0"/>
            <w:noWrap/>
          </w:tcPr>
          <w:p w14:paraId="1D15EABF" w14:textId="656B1CDD" w:rsidR="00611DB7" w:rsidRPr="00611DB7" w:rsidRDefault="00611DB7" w:rsidP="00611DB7">
            <w:pPr>
              <w:jc w:val="center"/>
              <w:rPr>
                <w:b/>
                <w:bCs/>
                <w:color w:val="FFFFFF" w:themeColor="background1"/>
                <w:sz w:val="16"/>
                <w:szCs w:val="16"/>
              </w:rPr>
            </w:pPr>
            <w:r w:rsidRPr="00611DB7">
              <w:rPr>
                <w:b/>
                <w:bCs/>
                <w:color w:val="FFFFFF" w:themeColor="background1"/>
                <w:sz w:val="16"/>
                <w:szCs w:val="16"/>
              </w:rPr>
              <w: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6CDB692A" w14:textId="07EB3BC9"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b/>
                <w:bCs/>
                <w:color w:val="FFFFFF" w:themeColor="background1"/>
                <w:sz w:val="16"/>
                <w:szCs w:val="16"/>
              </w:rPr>
              <w:t>eur</w:t>
            </w:r>
            <w:r>
              <w:rPr>
                <w:b/>
                <w:bCs/>
                <w:color w:val="FFFFFF" w:themeColor="background1"/>
                <w:sz w:val="16"/>
                <w:szCs w:val="16"/>
              </w:rPr>
              <w:t>ot</w:t>
            </w:r>
          </w:p>
        </w:tc>
        <w:tc>
          <w:tcPr>
            <w:tcW w:w="332" w:type="pct"/>
            <w:tcBorders>
              <w:top w:val="single" w:sz="4" w:space="0" w:color="FFFFFF"/>
              <w:left w:val="single" w:sz="4" w:space="0" w:color="FFFFFF"/>
              <w:bottom w:val="single" w:sz="4" w:space="0" w:color="FFFFFF"/>
              <w:right w:val="single" w:sz="4" w:space="0" w:color="FFFFFF"/>
            </w:tcBorders>
            <w:shd w:val="clear" w:color="auto" w:fill="0070C0"/>
            <w:noWrap/>
          </w:tcPr>
          <w:p w14:paraId="385E70E9" w14:textId="40F9660C" w:rsidR="00611DB7" w:rsidRPr="00611DB7" w:rsidRDefault="00611DB7" w:rsidP="00611DB7">
            <w:pPr>
              <w:jc w:val="center"/>
              <w:rPr>
                <w:b/>
                <w:bCs/>
                <w:color w:val="FFFFFF" w:themeColor="background1"/>
                <w:sz w:val="16"/>
                <w:szCs w:val="16"/>
              </w:rPr>
            </w:pPr>
            <w:r w:rsidRPr="00611DB7">
              <w:rPr>
                <w:b/>
                <w:bCs/>
                <w:color w:val="FFFFFF" w:themeColor="background1"/>
                <w:sz w:val="16"/>
                <w:szCs w:val="16"/>
              </w:rPr>
              <w: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1A1E6FD7" w14:textId="3D28AAA7"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b/>
                <w:bCs/>
                <w:color w:val="FFFFFF" w:themeColor="background1"/>
                <w:sz w:val="16"/>
                <w:szCs w:val="16"/>
              </w:rPr>
              <w:t>eur</w:t>
            </w:r>
            <w:r>
              <w:rPr>
                <w:b/>
                <w:bCs/>
                <w:color w:val="FFFFFF" w:themeColor="background1"/>
                <w:sz w:val="16"/>
                <w:szCs w:val="16"/>
              </w:rPr>
              <w:t>ot</w:t>
            </w:r>
          </w:p>
        </w:tc>
        <w:tc>
          <w:tcPr>
            <w:tcW w:w="332" w:type="pct"/>
            <w:tcBorders>
              <w:top w:val="single" w:sz="4" w:space="0" w:color="FFFFFF"/>
              <w:left w:val="single" w:sz="4" w:space="0" w:color="FFFFFF"/>
              <w:bottom w:val="single" w:sz="4" w:space="0" w:color="FFFFFF"/>
              <w:right w:val="single" w:sz="4" w:space="0" w:color="FFFFFF"/>
            </w:tcBorders>
            <w:shd w:val="clear" w:color="auto" w:fill="0070C0"/>
            <w:noWrap/>
          </w:tcPr>
          <w:p w14:paraId="1CB552BD" w14:textId="4FB04DC6"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rFonts w:eastAsia="Times New Roman" w:cs="Times New Roman"/>
                <w:b/>
                <w:bCs/>
                <w:color w:val="FFFFFF" w:themeColor="background1"/>
                <w:kern w:val="0"/>
                <w:sz w:val="16"/>
                <w:szCs w:val="16"/>
                <w:lang w:eastAsia="et-EE"/>
                <w14:ligatures w14:val="none"/>
              </w:rPr>
              <w: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7333E902" w14:textId="76F12E23"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b/>
                <w:bCs/>
                <w:color w:val="FFFFFF" w:themeColor="background1"/>
                <w:sz w:val="16"/>
                <w:szCs w:val="16"/>
              </w:rPr>
              <w:t>eur</w:t>
            </w:r>
            <w:r>
              <w:rPr>
                <w:b/>
                <w:bCs/>
                <w:color w:val="FFFFFF" w:themeColor="background1"/>
                <w:sz w:val="16"/>
                <w:szCs w:val="16"/>
              </w:rPr>
              <w:t>ot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297EF574" w14:textId="28064F8F"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rFonts w:eastAsia="Times New Roman" w:cs="Times New Roman"/>
                <w:b/>
                <w:bCs/>
                <w:color w:val="FFFFFF" w:themeColor="background1"/>
                <w:kern w:val="0"/>
                <w:sz w:val="16"/>
                <w:szCs w:val="16"/>
                <w:lang w:eastAsia="et-EE"/>
                <w14:ligatures w14:val="none"/>
              </w:rPr>
              <w: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069B2335" w14:textId="6A5D6CDB"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b/>
                <w:bCs/>
                <w:color w:val="FFFFFF" w:themeColor="background1"/>
                <w:sz w:val="16"/>
                <w:szCs w:val="16"/>
              </w:rPr>
              <w:t>eur</w:t>
            </w:r>
            <w:r>
              <w:rPr>
                <w:b/>
                <w:bCs/>
                <w:color w:val="FFFFFF" w:themeColor="background1"/>
                <w:sz w:val="16"/>
                <w:szCs w:val="16"/>
              </w:rPr>
              <w:t>ot</w:t>
            </w:r>
          </w:p>
        </w:tc>
        <w:tc>
          <w:tcPr>
            <w:tcW w:w="333" w:type="pct"/>
            <w:tcBorders>
              <w:top w:val="single" w:sz="4" w:space="0" w:color="FFFFFF"/>
              <w:left w:val="single" w:sz="4" w:space="0" w:color="FFFFFF"/>
              <w:bottom w:val="single" w:sz="4" w:space="0" w:color="FFFFFF"/>
              <w:right w:val="single" w:sz="4" w:space="0" w:color="FFFFFF"/>
            </w:tcBorders>
            <w:shd w:val="clear" w:color="auto" w:fill="0070C0"/>
            <w:noWrap/>
          </w:tcPr>
          <w:p w14:paraId="08A26759" w14:textId="688B7317"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rFonts w:eastAsia="Times New Roman" w:cs="Times New Roman"/>
                <w:b/>
                <w:bCs/>
                <w:color w:val="FFFFFF" w:themeColor="background1"/>
                <w:kern w:val="0"/>
                <w:sz w:val="16"/>
                <w:szCs w:val="16"/>
                <w:lang w:eastAsia="et-EE"/>
                <w14:ligatures w14:val="none"/>
              </w:rPr>
              <w:t>%</w:t>
            </w:r>
          </w:p>
        </w:tc>
        <w:tc>
          <w:tcPr>
            <w:tcW w:w="334" w:type="pct"/>
            <w:tcBorders>
              <w:top w:val="single" w:sz="4" w:space="0" w:color="FFFFFF"/>
              <w:left w:val="single" w:sz="4" w:space="0" w:color="FFFFFF"/>
              <w:bottom w:val="single" w:sz="4" w:space="0" w:color="FFFFFF"/>
              <w:right w:val="single" w:sz="4" w:space="0" w:color="FFFFFF"/>
            </w:tcBorders>
            <w:shd w:val="clear" w:color="auto" w:fill="0070C0"/>
            <w:noWrap/>
          </w:tcPr>
          <w:p w14:paraId="5963728F" w14:textId="57A8A67C"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b/>
                <w:bCs/>
                <w:color w:val="FFFFFF" w:themeColor="background1"/>
                <w:sz w:val="16"/>
                <w:szCs w:val="16"/>
              </w:rPr>
              <w:t>eur</w:t>
            </w:r>
            <w:r>
              <w:rPr>
                <w:b/>
                <w:bCs/>
                <w:color w:val="FFFFFF" w:themeColor="background1"/>
                <w:sz w:val="16"/>
                <w:szCs w:val="16"/>
              </w:rPr>
              <w:t>ot</w:t>
            </w:r>
          </w:p>
        </w:tc>
        <w:tc>
          <w:tcPr>
            <w:tcW w:w="331" w:type="pct"/>
            <w:tcBorders>
              <w:top w:val="single" w:sz="4" w:space="0" w:color="FFFFFF"/>
              <w:left w:val="single" w:sz="4" w:space="0" w:color="FFFFFF"/>
              <w:bottom w:val="single" w:sz="4" w:space="0" w:color="FFFFFF"/>
              <w:right w:val="single" w:sz="4" w:space="0" w:color="FFFFFF"/>
            </w:tcBorders>
            <w:shd w:val="clear" w:color="auto" w:fill="0070C0"/>
            <w:noWrap/>
          </w:tcPr>
          <w:p w14:paraId="572EBEC0" w14:textId="5ACAB6E2" w:rsidR="00611DB7" w:rsidRPr="00611DB7" w:rsidRDefault="00611DB7" w:rsidP="00611DB7">
            <w:pPr>
              <w:jc w:val="center"/>
              <w:rPr>
                <w:rFonts w:eastAsia="Times New Roman" w:cs="Times New Roman"/>
                <w:b/>
                <w:bCs/>
                <w:color w:val="FFFFFF" w:themeColor="background1"/>
                <w:kern w:val="0"/>
                <w:sz w:val="16"/>
                <w:szCs w:val="16"/>
                <w:lang w:eastAsia="et-EE"/>
                <w14:ligatures w14:val="none"/>
              </w:rPr>
            </w:pPr>
            <w:r w:rsidRPr="00611DB7">
              <w:rPr>
                <w:rFonts w:eastAsia="Times New Roman" w:cs="Times New Roman"/>
                <w:b/>
                <w:bCs/>
                <w:color w:val="FFFFFF" w:themeColor="background1"/>
                <w:kern w:val="0"/>
                <w:sz w:val="16"/>
                <w:szCs w:val="16"/>
                <w:lang w:eastAsia="et-EE"/>
                <w14:ligatures w14:val="none"/>
              </w:rPr>
              <w:t>%</w:t>
            </w:r>
          </w:p>
        </w:tc>
      </w:tr>
      <w:tr w:rsidR="00826176" w:rsidRPr="00605961" w14:paraId="45ABD9BD" w14:textId="77777777" w:rsidTr="00826176">
        <w:trPr>
          <w:trHeight w:val="300"/>
        </w:trPr>
        <w:tc>
          <w:tcPr>
            <w:tcW w:w="951" w:type="pct"/>
            <w:tcBorders>
              <w:top w:val="single" w:sz="4" w:space="0" w:color="FFFFFF"/>
            </w:tcBorders>
            <w:hideMark/>
          </w:tcPr>
          <w:p w14:paraId="12C382CD" w14:textId="1E9BC0DD"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BAU</w:t>
            </w:r>
            <w:r w:rsidR="000A6080">
              <w:rPr>
                <w:rFonts w:eastAsia="Times New Roman" w:cs="Times New Roman"/>
                <w:color w:val="000000"/>
                <w:kern w:val="0"/>
                <w:sz w:val="16"/>
                <w:szCs w:val="16"/>
                <w:lang w:eastAsia="et-EE"/>
                <w14:ligatures w14:val="none"/>
              </w:rPr>
              <w:t xml:space="preserve"> </w:t>
            </w:r>
            <w:r w:rsidRPr="00605961">
              <w:rPr>
                <w:rFonts w:eastAsia="Times New Roman" w:cs="Times New Roman"/>
                <w:color w:val="000000"/>
                <w:kern w:val="0"/>
                <w:sz w:val="16"/>
                <w:szCs w:val="16"/>
                <w:lang w:eastAsia="et-EE"/>
                <w14:ligatures w14:val="none"/>
              </w:rPr>
              <w:t>joogitopsid</w:t>
            </w:r>
          </w:p>
        </w:tc>
        <w:tc>
          <w:tcPr>
            <w:tcW w:w="384" w:type="pct"/>
            <w:tcBorders>
              <w:top w:val="single" w:sz="4" w:space="0" w:color="FFFFFF"/>
            </w:tcBorders>
            <w:shd w:val="clear" w:color="auto" w:fill="F2F2F2" w:themeFill="background1" w:themeFillShade="F2"/>
            <w:noWrap/>
            <w:hideMark/>
          </w:tcPr>
          <w:p w14:paraId="717DA5F2" w14:textId="48174778"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sz w:val="16"/>
                <w:szCs w:val="16"/>
              </w:rPr>
              <w:t>0,037</w:t>
            </w:r>
          </w:p>
        </w:tc>
        <w:tc>
          <w:tcPr>
            <w:tcW w:w="332" w:type="pct"/>
            <w:tcBorders>
              <w:top w:val="single" w:sz="4" w:space="0" w:color="FFFFFF"/>
              <w:right w:val="single" w:sz="4" w:space="0" w:color="FFFFFF"/>
            </w:tcBorders>
            <w:shd w:val="clear" w:color="auto" w:fill="F2F2F2" w:themeFill="background1" w:themeFillShade="F2"/>
            <w:noWrap/>
            <w:hideMark/>
          </w:tcPr>
          <w:p w14:paraId="467AB799" w14:textId="77777777" w:rsidR="00611DB7" w:rsidRDefault="00611DB7" w:rsidP="00C41999">
            <w:pPr>
              <w:jc w:val="center"/>
              <w:rPr>
                <w:kern w:val="0"/>
                <w:szCs w:val="21"/>
                <w14:ligatures w14:val="none"/>
              </w:rPr>
            </w:pPr>
            <w:r>
              <w:rPr>
                <w:color w:val="000000"/>
                <w:sz w:val="16"/>
                <w:szCs w:val="16"/>
              </w:rPr>
              <w:t>24</w:t>
            </w:r>
          </w:p>
          <w:p w14:paraId="7C542CF2" w14:textId="3476A3E7"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tcBorders>
              <w:top w:val="single" w:sz="4" w:space="0" w:color="FFFFFF"/>
              <w:left w:val="single" w:sz="4" w:space="0" w:color="FFFFFF"/>
            </w:tcBorders>
            <w:shd w:val="clear" w:color="auto" w:fill="F2F2F2" w:themeFill="background1" w:themeFillShade="F2"/>
            <w:noWrap/>
            <w:hideMark/>
          </w:tcPr>
          <w:p w14:paraId="444D3FD1"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0,037</w:t>
            </w:r>
          </w:p>
        </w:tc>
        <w:tc>
          <w:tcPr>
            <w:tcW w:w="332" w:type="pct"/>
            <w:tcBorders>
              <w:top w:val="single" w:sz="4" w:space="0" w:color="FFFFFF"/>
            </w:tcBorders>
            <w:shd w:val="clear" w:color="auto" w:fill="F2F2F2" w:themeFill="background1" w:themeFillShade="F2"/>
            <w:noWrap/>
            <w:hideMark/>
          </w:tcPr>
          <w:p w14:paraId="3A2501B9" w14:textId="77777777" w:rsidR="00611DB7" w:rsidRDefault="00611DB7" w:rsidP="00C41999">
            <w:pPr>
              <w:jc w:val="center"/>
              <w:rPr>
                <w:kern w:val="0"/>
                <w:szCs w:val="21"/>
                <w14:ligatures w14:val="none"/>
              </w:rPr>
            </w:pPr>
            <w:r>
              <w:rPr>
                <w:color w:val="000000"/>
                <w:sz w:val="16"/>
                <w:szCs w:val="16"/>
              </w:rPr>
              <w:t>24</w:t>
            </w:r>
          </w:p>
          <w:p w14:paraId="62961129" w14:textId="1358363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tcBorders>
              <w:top w:val="single" w:sz="4" w:space="0" w:color="FFFFFF"/>
            </w:tcBorders>
            <w:noWrap/>
            <w:hideMark/>
          </w:tcPr>
          <w:p w14:paraId="321D42BD"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0,047</w:t>
            </w:r>
          </w:p>
        </w:tc>
        <w:tc>
          <w:tcPr>
            <w:tcW w:w="332" w:type="pct"/>
            <w:tcBorders>
              <w:top w:val="single" w:sz="4" w:space="0" w:color="FFFFFF"/>
            </w:tcBorders>
            <w:noWrap/>
            <w:hideMark/>
          </w:tcPr>
          <w:p w14:paraId="0A742D1C" w14:textId="77777777" w:rsidR="00611DB7" w:rsidRDefault="00611DB7" w:rsidP="00C41999">
            <w:pPr>
              <w:jc w:val="center"/>
              <w:rPr>
                <w:kern w:val="0"/>
                <w:szCs w:val="21"/>
                <w14:ligatures w14:val="none"/>
              </w:rPr>
            </w:pPr>
            <w:r>
              <w:rPr>
                <w:color w:val="000000"/>
                <w:sz w:val="16"/>
                <w:szCs w:val="16"/>
              </w:rPr>
              <w:t>53</w:t>
            </w:r>
          </w:p>
          <w:p w14:paraId="27961544" w14:textId="1DB3814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tcBorders>
              <w:top w:val="single" w:sz="4" w:space="0" w:color="FFFFFF"/>
            </w:tcBorders>
            <w:noWrap/>
            <w:hideMark/>
          </w:tcPr>
          <w:p w14:paraId="43BAABEB"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0,047</w:t>
            </w:r>
          </w:p>
        </w:tc>
        <w:tc>
          <w:tcPr>
            <w:tcW w:w="334" w:type="pct"/>
            <w:tcBorders>
              <w:top w:val="single" w:sz="4" w:space="0" w:color="FFFFFF"/>
            </w:tcBorders>
            <w:noWrap/>
            <w:hideMark/>
          </w:tcPr>
          <w:p w14:paraId="7ABBA59F" w14:textId="77777777" w:rsidR="00611DB7" w:rsidRDefault="00611DB7" w:rsidP="00C41999">
            <w:pPr>
              <w:jc w:val="center"/>
              <w:rPr>
                <w:kern w:val="0"/>
                <w:szCs w:val="21"/>
                <w14:ligatures w14:val="none"/>
              </w:rPr>
            </w:pPr>
            <w:r>
              <w:rPr>
                <w:color w:val="000000"/>
                <w:sz w:val="16"/>
                <w:szCs w:val="16"/>
              </w:rPr>
              <w:t>53</w:t>
            </w:r>
          </w:p>
          <w:p w14:paraId="6B622485" w14:textId="0817238E"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tcBorders>
              <w:top w:val="single" w:sz="4" w:space="0" w:color="FFFFFF"/>
            </w:tcBorders>
            <w:shd w:val="clear" w:color="auto" w:fill="F2F2F2" w:themeFill="background1" w:themeFillShade="F2"/>
            <w:noWrap/>
            <w:hideMark/>
          </w:tcPr>
          <w:p w14:paraId="2F1FED7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0,033</w:t>
            </w:r>
          </w:p>
        </w:tc>
        <w:tc>
          <w:tcPr>
            <w:tcW w:w="333" w:type="pct"/>
            <w:tcBorders>
              <w:top w:val="single" w:sz="4" w:space="0" w:color="FFFFFF"/>
            </w:tcBorders>
            <w:shd w:val="clear" w:color="auto" w:fill="F2F2F2" w:themeFill="background1" w:themeFillShade="F2"/>
            <w:noWrap/>
            <w:hideMark/>
          </w:tcPr>
          <w:p w14:paraId="47F060F3" w14:textId="77777777" w:rsidR="00611DB7" w:rsidRDefault="00611DB7" w:rsidP="00C41999">
            <w:pPr>
              <w:jc w:val="center"/>
              <w:rPr>
                <w:kern w:val="0"/>
                <w:szCs w:val="21"/>
                <w14:ligatures w14:val="none"/>
              </w:rPr>
            </w:pPr>
            <w:r>
              <w:rPr>
                <w:color w:val="000000"/>
                <w:sz w:val="16"/>
                <w:szCs w:val="16"/>
              </w:rPr>
              <w:t>46</w:t>
            </w:r>
          </w:p>
          <w:p w14:paraId="76E5BE7A" w14:textId="252CEF9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tcBorders>
              <w:top w:val="single" w:sz="4" w:space="0" w:color="FFFFFF"/>
            </w:tcBorders>
            <w:shd w:val="clear" w:color="auto" w:fill="F2F2F2" w:themeFill="background1" w:themeFillShade="F2"/>
            <w:noWrap/>
            <w:hideMark/>
          </w:tcPr>
          <w:p w14:paraId="66C93CC3"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0,033</w:t>
            </w:r>
          </w:p>
        </w:tc>
        <w:tc>
          <w:tcPr>
            <w:tcW w:w="331" w:type="pct"/>
            <w:tcBorders>
              <w:top w:val="single" w:sz="4" w:space="0" w:color="FFFFFF"/>
            </w:tcBorders>
            <w:shd w:val="clear" w:color="auto" w:fill="F2F2F2" w:themeFill="background1" w:themeFillShade="F2"/>
            <w:noWrap/>
            <w:hideMark/>
          </w:tcPr>
          <w:p w14:paraId="3328A79F" w14:textId="77777777" w:rsidR="00611DB7" w:rsidRDefault="00611DB7" w:rsidP="00C41999">
            <w:pPr>
              <w:jc w:val="center"/>
              <w:rPr>
                <w:kern w:val="0"/>
                <w:szCs w:val="21"/>
                <w14:ligatures w14:val="none"/>
              </w:rPr>
            </w:pPr>
            <w:r>
              <w:rPr>
                <w:color w:val="000000"/>
                <w:sz w:val="16"/>
                <w:szCs w:val="16"/>
              </w:rPr>
              <w:t>46</w:t>
            </w:r>
          </w:p>
          <w:p w14:paraId="512CFB27" w14:textId="794DA7BB"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76B9DDA0" w14:textId="77777777" w:rsidTr="00611DB7">
        <w:trPr>
          <w:trHeight w:val="300"/>
        </w:trPr>
        <w:tc>
          <w:tcPr>
            <w:tcW w:w="951" w:type="pct"/>
            <w:hideMark/>
          </w:tcPr>
          <w:p w14:paraId="6CCD07F1"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BAU pappkarbid</w:t>
            </w:r>
          </w:p>
        </w:tc>
        <w:tc>
          <w:tcPr>
            <w:tcW w:w="384" w:type="pct"/>
            <w:shd w:val="clear" w:color="auto" w:fill="F2F2F2" w:themeFill="background1" w:themeFillShade="F2"/>
            <w:noWrap/>
            <w:hideMark/>
          </w:tcPr>
          <w:p w14:paraId="10B6920E" w14:textId="4CA90819"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sz w:val="16"/>
                <w:szCs w:val="16"/>
              </w:rPr>
              <w:t>0,040</w:t>
            </w:r>
          </w:p>
        </w:tc>
        <w:tc>
          <w:tcPr>
            <w:tcW w:w="332" w:type="pct"/>
            <w:shd w:val="clear" w:color="auto" w:fill="F2F2F2" w:themeFill="background1" w:themeFillShade="F2"/>
            <w:noWrap/>
            <w:hideMark/>
          </w:tcPr>
          <w:p w14:paraId="1BF4F15B" w14:textId="77777777" w:rsidR="00611DB7" w:rsidRDefault="00611DB7" w:rsidP="00C41999">
            <w:pPr>
              <w:jc w:val="center"/>
              <w:rPr>
                <w:kern w:val="0"/>
                <w:szCs w:val="21"/>
                <w14:ligatures w14:val="none"/>
              </w:rPr>
            </w:pPr>
            <w:r>
              <w:rPr>
                <w:color w:val="000000"/>
                <w:sz w:val="16"/>
                <w:szCs w:val="16"/>
              </w:rPr>
              <w:t>26</w:t>
            </w:r>
          </w:p>
          <w:p w14:paraId="470DCCF9" w14:textId="6E5DB4FB"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77D3489"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0,040</w:t>
            </w:r>
          </w:p>
        </w:tc>
        <w:tc>
          <w:tcPr>
            <w:tcW w:w="332" w:type="pct"/>
            <w:shd w:val="clear" w:color="auto" w:fill="F2F2F2" w:themeFill="background1" w:themeFillShade="F2"/>
            <w:noWrap/>
            <w:hideMark/>
          </w:tcPr>
          <w:p w14:paraId="178B4D4D" w14:textId="77777777" w:rsidR="00611DB7" w:rsidRDefault="00611DB7" w:rsidP="00C41999">
            <w:pPr>
              <w:jc w:val="center"/>
              <w:rPr>
                <w:kern w:val="0"/>
                <w:szCs w:val="21"/>
                <w14:ligatures w14:val="none"/>
              </w:rPr>
            </w:pPr>
            <w:r>
              <w:rPr>
                <w:color w:val="000000"/>
                <w:sz w:val="16"/>
                <w:szCs w:val="16"/>
              </w:rPr>
              <w:t>26</w:t>
            </w:r>
          </w:p>
          <w:p w14:paraId="195561EF" w14:textId="30325FA0"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7B9AD288"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2" w:type="pct"/>
            <w:noWrap/>
            <w:hideMark/>
          </w:tcPr>
          <w:p w14:paraId="43F4A4CF" w14:textId="77777777" w:rsidR="00611DB7" w:rsidRDefault="00611DB7" w:rsidP="00C41999">
            <w:pPr>
              <w:jc w:val="center"/>
              <w:rPr>
                <w:kern w:val="0"/>
                <w:szCs w:val="21"/>
                <w14:ligatures w14:val="none"/>
              </w:rPr>
            </w:pPr>
            <w:r>
              <w:rPr>
                <w:color w:val="000000"/>
                <w:sz w:val="16"/>
                <w:szCs w:val="16"/>
              </w:rPr>
              <w:t>6</w:t>
            </w:r>
          </w:p>
          <w:p w14:paraId="7D8B9AE5" w14:textId="0FFEFB20"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6FC24E2E"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4" w:type="pct"/>
            <w:noWrap/>
            <w:hideMark/>
          </w:tcPr>
          <w:p w14:paraId="610344B7" w14:textId="77777777" w:rsidR="00611DB7" w:rsidRDefault="00611DB7" w:rsidP="00C41999">
            <w:pPr>
              <w:jc w:val="center"/>
              <w:rPr>
                <w:kern w:val="0"/>
                <w:szCs w:val="21"/>
                <w14:ligatures w14:val="none"/>
              </w:rPr>
            </w:pPr>
            <w:r>
              <w:rPr>
                <w:color w:val="000000"/>
                <w:sz w:val="16"/>
                <w:szCs w:val="16"/>
              </w:rPr>
              <w:t>6</w:t>
            </w:r>
          </w:p>
          <w:p w14:paraId="0C3E38D2" w14:textId="5DC81CBC"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4A167860"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0,010</w:t>
            </w:r>
          </w:p>
        </w:tc>
        <w:tc>
          <w:tcPr>
            <w:tcW w:w="333" w:type="pct"/>
            <w:shd w:val="clear" w:color="auto" w:fill="F2F2F2" w:themeFill="background1" w:themeFillShade="F2"/>
            <w:noWrap/>
            <w:hideMark/>
          </w:tcPr>
          <w:p w14:paraId="58331C36" w14:textId="77777777" w:rsidR="00611DB7" w:rsidRDefault="00611DB7" w:rsidP="00C41999">
            <w:pPr>
              <w:jc w:val="center"/>
              <w:rPr>
                <w:kern w:val="0"/>
                <w:szCs w:val="21"/>
                <w14:ligatures w14:val="none"/>
              </w:rPr>
            </w:pPr>
            <w:r>
              <w:rPr>
                <w:color w:val="000000"/>
                <w:sz w:val="16"/>
                <w:szCs w:val="16"/>
              </w:rPr>
              <w:t>14</w:t>
            </w:r>
          </w:p>
          <w:p w14:paraId="5B14DB88" w14:textId="472E59A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4A36D662"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0,010</w:t>
            </w:r>
          </w:p>
        </w:tc>
        <w:tc>
          <w:tcPr>
            <w:tcW w:w="331" w:type="pct"/>
            <w:shd w:val="clear" w:color="auto" w:fill="F2F2F2" w:themeFill="background1" w:themeFillShade="F2"/>
            <w:noWrap/>
            <w:hideMark/>
          </w:tcPr>
          <w:p w14:paraId="2418E20C" w14:textId="77777777" w:rsidR="00611DB7" w:rsidRDefault="00611DB7" w:rsidP="00C41999">
            <w:pPr>
              <w:jc w:val="center"/>
              <w:rPr>
                <w:kern w:val="0"/>
                <w:szCs w:val="21"/>
                <w14:ligatures w14:val="none"/>
              </w:rPr>
            </w:pPr>
            <w:r>
              <w:rPr>
                <w:color w:val="000000"/>
                <w:sz w:val="16"/>
                <w:szCs w:val="16"/>
              </w:rPr>
              <w:t>14</w:t>
            </w:r>
          </w:p>
          <w:p w14:paraId="34CB4F9C" w14:textId="259D7186"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33D3DB8E" w14:textId="77777777" w:rsidTr="00611DB7">
        <w:trPr>
          <w:trHeight w:val="300"/>
        </w:trPr>
        <w:tc>
          <w:tcPr>
            <w:tcW w:w="951" w:type="pct"/>
            <w:hideMark/>
          </w:tcPr>
          <w:p w14:paraId="537827AE"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BAU muud pakendid</w:t>
            </w:r>
          </w:p>
        </w:tc>
        <w:tc>
          <w:tcPr>
            <w:tcW w:w="384" w:type="pct"/>
            <w:shd w:val="clear" w:color="auto" w:fill="F2F2F2" w:themeFill="background1" w:themeFillShade="F2"/>
            <w:noWrap/>
            <w:hideMark/>
          </w:tcPr>
          <w:p w14:paraId="43970F0F" w14:textId="5B01E86C"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sz w:val="16"/>
                <w:szCs w:val="16"/>
              </w:rPr>
              <w:t>0,019</w:t>
            </w:r>
          </w:p>
        </w:tc>
        <w:tc>
          <w:tcPr>
            <w:tcW w:w="332" w:type="pct"/>
            <w:shd w:val="clear" w:color="auto" w:fill="F2F2F2" w:themeFill="background1" w:themeFillShade="F2"/>
            <w:noWrap/>
            <w:hideMark/>
          </w:tcPr>
          <w:p w14:paraId="1265FDB2" w14:textId="77777777" w:rsidR="00611DB7" w:rsidRDefault="00611DB7" w:rsidP="00C41999">
            <w:pPr>
              <w:jc w:val="center"/>
              <w:rPr>
                <w:kern w:val="0"/>
                <w:szCs w:val="21"/>
                <w14:ligatures w14:val="none"/>
              </w:rPr>
            </w:pPr>
            <w:r>
              <w:rPr>
                <w:color w:val="000000"/>
                <w:sz w:val="16"/>
                <w:szCs w:val="16"/>
              </w:rPr>
              <w:t>12</w:t>
            </w:r>
          </w:p>
          <w:p w14:paraId="15298BEB" w14:textId="5DDA150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5E96533"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0,019</w:t>
            </w:r>
          </w:p>
        </w:tc>
        <w:tc>
          <w:tcPr>
            <w:tcW w:w="332" w:type="pct"/>
            <w:shd w:val="clear" w:color="auto" w:fill="F2F2F2" w:themeFill="background1" w:themeFillShade="F2"/>
            <w:noWrap/>
            <w:hideMark/>
          </w:tcPr>
          <w:p w14:paraId="60CF5DE5" w14:textId="77777777" w:rsidR="00611DB7" w:rsidRDefault="00611DB7" w:rsidP="00C41999">
            <w:pPr>
              <w:jc w:val="center"/>
              <w:rPr>
                <w:kern w:val="0"/>
                <w:szCs w:val="21"/>
                <w14:ligatures w14:val="none"/>
              </w:rPr>
            </w:pPr>
            <w:r>
              <w:rPr>
                <w:color w:val="000000"/>
                <w:sz w:val="16"/>
                <w:szCs w:val="16"/>
              </w:rPr>
              <w:t>13</w:t>
            </w:r>
          </w:p>
          <w:p w14:paraId="15DC4386" w14:textId="574A84A4"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3E173808" w14:textId="2BDAC295"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2" w:type="pct"/>
            <w:noWrap/>
            <w:hideMark/>
          </w:tcPr>
          <w:p w14:paraId="1BCD6845" w14:textId="58EC5D15"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noWrap/>
            <w:hideMark/>
          </w:tcPr>
          <w:p w14:paraId="3225DEFB" w14:textId="2A1A5990"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noWrap/>
            <w:hideMark/>
          </w:tcPr>
          <w:p w14:paraId="71E81AB2" w14:textId="790346BB"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shd w:val="clear" w:color="auto" w:fill="F2F2F2" w:themeFill="background1" w:themeFillShade="F2"/>
            <w:noWrap/>
            <w:hideMark/>
          </w:tcPr>
          <w:p w14:paraId="705524DC" w14:textId="3506B7F4"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3" w:type="pct"/>
            <w:shd w:val="clear" w:color="auto" w:fill="F2F2F2" w:themeFill="background1" w:themeFillShade="F2"/>
            <w:noWrap/>
            <w:hideMark/>
          </w:tcPr>
          <w:p w14:paraId="0D73F20D" w14:textId="6F7AB085"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shd w:val="clear" w:color="auto" w:fill="F2F2F2" w:themeFill="background1" w:themeFillShade="F2"/>
            <w:noWrap/>
            <w:hideMark/>
          </w:tcPr>
          <w:p w14:paraId="3419A661" w14:textId="43FA4E23"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1" w:type="pct"/>
            <w:shd w:val="clear" w:color="auto" w:fill="F2F2F2" w:themeFill="background1" w:themeFillShade="F2"/>
            <w:noWrap/>
            <w:hideMark/>
          </w:tcPr>
          <w:p w14:paraId="57109FEB" w14:textId="7BFABF6C"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r>
      <w:tr w:rsidR="00605961" w:rsidRPr="00605961" w14:paraId="77A3CD5E" w14:textId="77777777" w:rsidTr="00611DB7">
        <w:trPr>
          <w:trHeight w:val="300"/>
        </w:trPr>
        <w:tc>
          <w:tcPr>
            <w:tcW w:w="951" w:type="pct"/>
            <w:hideMark/>
          </w:tcPr>
          <w:p w14:paraId="619AA09D"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BAU jäätmekäitlus</w:t>
            </w:r>
          </w:p>
        </w:tc>
        <w:tc>
          <w:tcPr>
            <w:tcW w:w="384" w:type="pct"/>
            <w:shd w:val="clear" w:color="auto" w:fill="F2F2F2" w:themeFill="background1" w:themeFillShade="F2"/>
            <w:noWrap/>
            <w:hideMark/>
          </w:tcPr>
          <w:p w14:paraId="04109290" w14:textId="39CD0B29"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sz w:val="16"/>
                <w:szCs w:val="16"/>
              </w:rPr>
              <w:t>0,051</w:t>
            </w:r>
          </w:p>
        </w:tc>
        <w:tc>
          <w:tcPr>
            <w:tcW w:w="332" w:type="pct"/>
            <w:shd w:val="clear" w:color="auto" w:fill="F2F2F2" w:themeFill="background1" w:themeFillShade="F2"/>
            <w:noWrap/>
            <w:hideMark/>
          </w:tcPr>
          <w:p w14:paraId="59D9E0E9" w14:textId="77777777" w:rsidR="00611DB7" w:rsidRDefault="00611DB7" w:rsidP="00C41999">
            <w:pPr>
              <w:jc w:val="center"/>
              <w:rPr>
                <w:kern w:val="0"/>
                <w:szCs w:val="21"/>
                <w14:ligatures w14:val="none"/>
              </w:rPr>
            </w:pPr>
            <w:r>
              <w:rPr>
                <w:color w:val="000000"/>
                <w:sz w:val="16"/>
                <w:szCs w:val="16"/>
              </w:rPr>
              <w:t>34</w:t>
            </w:r>
          </w:p>
          <w:p w14:paraId="0AD34488" w14:textId="36F46BD7"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65F8BAF1" w14:textId="3D938BF9"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w:t>
            </w:r>
            <w:r>
              <w:rPr>
                <w:rFonts w:eastAsia="Times New Roman" w:cs="Times New Roman"/>
                <w:color w:val="000000"/>
                <w:kern w:val="0"/>
                <w:sz w:val="16"/>
                <w:szCs w:val="16"/>
                <w:lang w:eastAsia="et-EE"/>
                <w14:ligatures w14:val="none"/>
              </w:rPr>
              <w:t>51</w:t>
            </w:r>
          </w:p>
        </w:tc>
        <w:tc>
          <w:tcPr>
            <w:tcW w:w="332" w:type="pct"/>
            <w:shd w:val="clear" w:color="auto" w:fill="F2F2F2" w:themeFill="background1" w:themeFillShade="F2"/>
            <w:noWrap/>
            <w:hideMark/>
          </w:tcPr>
          <w:p w14:paraId="31D6F090" w14:textId="77777777" w:rsidR="00611DB7" w:rsidRDefault="00611DB7" w:rsidP="00C41999">
            <w:pPr>
              <w:jc w:val="center"/>
              <w:rPr>
                <w:kern w:val="0"/>
                <w:szCs w:val="21"/>
                <w14:ligatures w14:val="none"/>
              </w:rPr>
            </w:pPr>
            <w:r>
              <w:rPr>
                <w:color w:val="000000"/>
                <w:sz w:val="16"/>
                <w:szCs w:val="16"/>
              </w:rPr>
              <w:t>34</w:t>
            </w:r>
          </w:p>
          <w:p w14:paraId="1228AFD5" w14:textId="35E874D5"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3DEE30A8" w14:textId="0EA516BF"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0,036</w:t>
            </w:r>
          </w:p>
        </w:tc>
        <w:tc>
          <w:tcPr>
            <w:tcW w:w="332" w:type="pct"/>
            <w:noWrap/>
            <w:hideMark/>
          </w:tcPr>
          <w:p w14:paraId="1D2246A8" w14:textId="77777777" w:rsidR="00611DB7" w:rsidRDefault="00611DB7" w:rsidP="00C41999">
            <w:pPr>
              <w:jc w:val="center"/>
              <w:rPr>
                <w:kern w:val="0"/>
                <w:szCs w:val="21"/>
                <w14:ligatures w14:val="none"/>
              </w:rPr>
            </w:pPr>
            <w:r>
              <w:rPr>
                <w:color w:val="000000"/>
                <w:sz w:val="16"/>
                <w:szCs w:val="16"/>
              </w:rPr>
              <w:t>41</w:t>
            </w:r>
          </w:p>
          <w:p w14:paraId="75CD724C" w14:textId="7DB829A3"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65A6C292" w14:textId="0BED70C4"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w:t>
            </w:r>
            <w:r>
              <w:rPr>
                <w:rFonts w:eastAsia="Times New Roman" w:cs="Times New Roman"/>
                <w:color w:val="000000"/>
                <w:kern w:val="0"/>
                <w:sz w:val="16"/>
                <w:szCs w:val="16"/>
                <w:lang w:eastAsia="et-EE"/>
                <w14:ligatures w14:val="none"/>
              </w:rPr>
              <w:t>36</w:t>
            </w:r>
          </w:p>
        </w:tc>
        <w:tc>
          <w:tcPr>
            <w:tcW w:w="334" w:type="pct"/>
            <w:noWrap/>
            <w:hideMark/>
          </w:tcPr>
          <w:p w14:paraId="09C7A030" w14:textId="77777777" w:rsidR="00611DB7" w:rsidRDefault="00611DB7" w:rsidP="00C41999">
            <w:pPr>
              <w:jc w:val="center"/>
              <w:rPr>
                <w:kern w:val="0"/>
                <w:szCs w:val="21"/>
                <w14:ligatures w14:val="none"/>
              </w:rPr>
            </w:pPr>
            <w:r>
              <w:rPr>
                <w:color w:val="000000"/>
                <w:sz w:val="16"/>
                <w:szCs w:val="16"/>
              </w:rPr>
              <w:t>41</w:t>
            </w:r>
          </w:p>
          <w:p w14:paraId="498349B5" w14:textId="2080D712"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4CAF8975" w14:textId="5EA89B6A"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0,029</w:t>
            </w:r>
          </w:p>
        </w:tc>
        <w:tc>
          <w:tcPr>
            <w:tcW w:w="333" w:type="pct"/>
            <w:shd w:val="clear" w:color="auto" w:fill="F2F2F2" w:themeFill="background1" w:themeFillShade="F2"/>
            <w:noWrap/>
            <w:hideMark/>
          </w:tcPr>
          <w:p w14:paraId="4C9ADBFF" w14:textId="77777777" w:rsidR="00611DB7" w:rsidRDefault="00611DB7" w:rsidP="00C41999">
            <w:pPr>
              <w:jc w:val="center"/>
              <w:rPr>
                <w:kern w:val="0"/>
                <w:szCs w:val="21"/>
                <w14:ligatures w14:val="none"/>
              </w:rPr>
            </w:pPr>
            <w:r>
              <w:rPr>
                <w:color w:val="000000"/>
                <w:sz w:val="16"/>
                <w:szCs w:val="16"/>
              </w:rPr>
              <w:t>40</w:t>
            </w:r>
          </w:p>
          <w:p w14:paraId="05392C24" w14:textId="5F07E2F6"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D5F245C" w14:textId="56B693F1"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w:t>
            </w:r>
            <w:r w:rsidR="002507CB">
              <w:rPr>
                <w:rFonts w:eastAsia="Times New Roman" w:cs="Times New Roman"/>
                <w:color w:val="000000"/>
                <w:kern w:val="0"/>
                <w:sz w:val="16"/>
                <w:szCs w:val="16"/>
                <w:lang w:eastAsia="et-EE"/>
                <w14:ligatures w14:val="none"/>
              </w:rPr>
              <w:t>9</w:t>
            </w:r>
          </w:p>
        </w:tc>
        <w:tc>
          <w:tcPr>
            <w:tcW w:w="331" w:type="pct"/>
            <w:shd w:val="clear" w:color="auto" w:fill="F2F2F2" w:themeFill="background1" w:themeFillShade="F2"/>
            <w:noWrap/>
            <w:hideMark/>
          </w:tcPr>
          <w:p w14:paraId="544A214A" w14:textId="77777777" w:rsidR="00611DB7" w:rsidRDefault="00611DB7" w:rsidP="00C41999">
            <w:pPr>
              <w:jc w:val="center"/>
              <w:rPr>
                <w:kern w:val="0"/>
                <w:szCs w:val="21"/>
                <w14:ligatures w14:val="none"/>
              </w:rPr>
            </w:pPr>
            <w:r>
              <w:rPr>
                <w:color w:val="000000"/>
                <w:sz w:val="16"/>
                <w:szCs w:val="16"/>
              </w:rPr>
              <w:t>40</w:t>
            </w:r>
          </w:p>
          <w:p w14:paraId="4602E1F8" w14:textId="33F18A0F"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158D7C03" w14:textId="77777777" w:rsidTr="00611DB7">
        <w:trPr>
          <w:trHeight w:val="300"/>
        </w:trPr>
        <w:tc>
          <w:tcPr>
            <w:tcW w:w="951" w:type="pct"/>
            <w:hideMark/>
          </w:tcPr>
          <w:p w14:paraId="620A8D07"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BAU tootjavastutus/haldus</w:t>
            </w:r>
          </w:p>
        </w:tc>
        <w:tc>
          <w:tcPr>
            <w:tcW w:w="384" w:type="pct"/>
            <w:shd w:val="clear" w:color="auto" w:fill="F2F2F2" w:themeFill="background1" w:themeFillShade="F2"/>
            <w:noWrap/>
            <w:hideMark/>
          </w:tcPr>
          <w:p w14:paraId="49D12560" w14:textId="39087C2E"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sz w:val="16"/>
                <w:szCs w:val="16"/>
              </w:rPr>
              <w:t>0,004</w:t>
            </w:r>
          </w:p>
        </w:tc>
        <w:tc>
          <w:tcPr>
            <w:tcW w:w="332" w:type="pct"/>
            <w:shd w:val="clear" w:color="auto" w:fill="F2F2F2" w:themeFill="background1" w:themeFillShade="F2"/>
            <w:noWrap/>
            <w:hideMark/>
          </w:tcPr>
          <w:p w14:paraId="2282E6D0" w14:textId="77777777" w:rsidR="00611DB7" w:rsidRDefault="00611DB7" w:rsidP="00C41999">
            <w:pPr>
              <w:jc w:val="center"/>
              <w:rPr>
                <w:kern w:val="0"/>
                <w:szCs w:val="21"/>
                <w14:ligatures w14:val="none"/>
              </w:rPr>
            </w:pPr>
            <w:r>
              <w:rPr>
                <w:color w:val="000000"/>
                <w:sz w:val="16"/>
                <w:szCs w:val="16"/>
              </w:rPr>
              <w:t>3</w:t>
            </w:r>
          </w:p>
          <w:p w14:paraId="7793B9ED" w14:textId="4CACF6BF"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950A212"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0,004</w:t>
            </w:r>
          </w:p>
        </w:tc>
        <w:tc>
          <w:tcPr>
            <w:tcW w:w="332" w:type="pct"/>
            <w:shd w:val="clear" w:color="auto" w:fill="F2F2F2" w:themeFill="background1" w:themeFillShade="F2"/>
            <w:noWrap/>
            <w:hideMark/>
          </w:tcPr>
          <w:p w14:paraId="374DA12D" w14:textId="77777777" w:rsidR="00611DB7" w:rsidRDefault="00611DB7" w:rsidP="00C41999">
            <w:pPr>
              <w:jc w:val="center"/>
              <w:rPr>
                <w:kern w:val="0"/>
                <w:szCs w:val="21"/>
                <w14:ligatures w14:val="none"/>
              </w:rPr>
            </w:pPr>
            <w:r>
              <w:rPr>
                <w:color w:val="000000"/>
                <w:sz w:val="16"/>
                <w:szCs w:val="16"/>
              </w:rPr>
              <w:t>3</w:t>
            </w:r>
          </w:p>
          <w:p w14:paraId="256678D0" w14:textId="31E4F311"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6735892B" w14:textId="3E3C0AF9"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2" w:type="pct"/>
            <w:noWrap/>
            <w:hideMark/>
          </w:tcPr>
          <w:p w14:paraId="0BDC2D03" w14:textId="161EA542"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noWrap/>
            <w:hideMark/>
          </w:tcPr>
          <w:p w14:paraId="18B77F45" w14:textId="659ABBF1"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noWrap/>
            <w:hideMark/>
          </w:tcPr>
          <w:p w14:paraId="529A2FDD" w14:textId="48A835AA"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shd w:val="clear" w:color="auto" w:fill="F2F2F2" w:themeFill="background1" w:themeFillShade="F2"/>
            <w:noWrap/>
            <w:hideMark/>
          </w:tcPr>
          <w:p w14:paraId="002B1B2A" w14:textId="6D02155B"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3" w:type="pct"/>
            <w:shd w:val="clear" w:color="auto" w:fill="F2F2F2" w:themeFill="background1" w:themeFillShade="F2"/>
            <w:noWrap/>
            <w:hideMark/>
          </w:tcPr>
          <w:p w14:paraId="10BDC0A0" w14:textId="33478E05"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4" w:type="pct"/>
            <w:shd w:val="clear" w:color="auto" w:fill="F2F2F2" w:themeFill="background1" w:themeFillShade="F2"/>
            <w:noWrap/>
            <w:hideMark/>
          </w:tcPr>
          <w:p w14:paraId="5A936D9A" w14:textId="79A9560A"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c>
          <w:tcPr>
            <w:tcW w:w="331" w:type="pct"/>
            <w:shd w:val="clear" w:color="auto" w:fill="F2F2F2" w:themeFill="background1" w:themeFillShade="F2"/>
            <w:noWrap/>
            <w:hideMark/>
          </w:tcPr>
          <w:p w14:paraId="64E08CFC" w14:textId="4BBD60E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w:t>
            </w:r>
          </w:p>
        </w:tc>
      </w:tr>
      <w:tr w:rsidR="00F944CD" w:rsidRPr="00605961" w14:paraId="2D24F927" w14:textId="77777777" w:rsidTr="00611DB7">
        <w:trPr>
          <w:trHeight w:val="300"/>
        </w:trPr>
        <w:tc>
          <w:tcPr>
            <w:tcW w:w="951" w:type="pct"/>
            <w:shd w:val="clear" w:color="auto" w:fill="0070C0"/>
            <w:hideMark/>
          </w:tcPr>
          <w:p w14:paraId="6FDB381C" w14:textId="77777777" w:rsidR="00285AD2" w:rsidRPr="00605961" w:rsidRDefault="00285AD2" w:rsidP="00285AD2">
            <w:pPr>
              <w:jc w:val="left"/>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BAU KOKKU</w:t>
            </w:r>
          </w:p>
        </w:tc>
        <w:tc>
          <w:tcPr>
            <w:tcW w:w="384" w:type="pct"/>
            <w:shd w:val="clear" w:color="auto" w:fill="0070C0"/>
            <w:noWrap/>
            <w:hideMark/>
          </w:tcPr>
          <w:p w14:paraId="48046CC7" w14:textId="74AD5B98" w:rsidR="00285AD2"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0,150</w:t>
            </w:r>
          </w:p>
        </w:tc>
        <w:tc>
          <w:tcPr>
            <w:tcW w:w="332" w:type="pct"/>
            <w:shd w:val="clear" w:color="auto" w:fill="0070C0"/>
            <w:noWrap/>
            <w:hideMark/>
          </w:tcPr>
          <w:p w14:paraId="7C82CF46" w14:textId="77777777" w:rsidR="00611DB7" w:rsidRDefault="00611DB7" w:rsidP="00C41999">
            <w:pPr>
              <w:jc w:val="center"/>
              <w:rPr>
                <w:kern w:val="0"/>
                <w:szCs w:val="21"/>
                <w14:ligatures w14:val="none"/>
              </w:rPr>
            </w:pPr>
            <w:r>
              <w:rPr>
                <w:b/>
                <w:bCs/>
                <w:color w:val="FFFFFF"/>
                <w:sz w:val="16"/>
                <w:szCs w:val="16"/>
              </w:rPr>
              <w:t>100</w:t>
            </w:r>
          </w:p>
          <w:p w14:paraId="6CCDE9A1" w14:textId="5390FE90"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3288AF70" w14:textId="4548F779"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0,1</w:t>
            </w:r>
            <w:r w:rsidR="00605961">
              <w:rPr>
                <w:rFonts w:eastAsia="Times New Roman" w:cs="Times New Roman"/>
                <w:b/>
                <w:bCs/>
                <w:color w:val="FFFFFF" w:themeColor="background1"/>
                <w:kern w:val="0"/>
                <w:sz w:val="16"/>
                <w:szCs w:val="16"/>
                <w:lang w:eastAsia="et-EE"/>
                <w14:ligatures w14:val="none"/>
              </w:rPr>
              <w:t>50</w:t>
            </w:r>
          </w:p>
        </w:tc>
        <w:tc>
          <w:tcPr>
            <w:tcW w:w="332" w:type="pct"/>
            <w:shd w:val="clear" w:color="auto" w:fill="0070C0"/>
            <w:noWrap/>
            <w:hideMark/>
          </w:tcPr>
          <w:p w14:paraId="360D5692" w14:textId="77777777" w:rsidR="00611DB7" w:rsidRDefault="00611DB7" w:rsidP="00C41999">
            <w:pPr>
              <w:jc w:val="center"/>
              <w:rPr>
                <w:kern w:val="0"/>
                <w:szCs w:val="21"/>
                <w14:ligatures w14:val="none"/>
              </w:rPr>
            </w:pPr>
            <w:r>
              <w:rPr>
                <w:b/>
                <w:bCs/>
                <w:color w:val="FFFFFF"/>
                <w:sz w:val="16"/>
                <w:szCs w:val="16"/>
              </w:rPr>
              <w:t>100</w:t>
            </w:r>
          </w:p>
          <w:p w14:paraId="40BF2F88" w14:textId="1253DB36"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018F5811" w14:textId="32CEEC3D" w:rsidR="00285AD2"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0,089</w:t>
            </w:r>
          </w:p>
        </w:tc>
        <w:tc>
          <w:tcPr>
            <w:tcW w:w="332" w:type="pct"/>
            <w:shd w:val="clear" w:color="auto" w:fill="0070C0"/>
            <w:noWrap/>
            <w:hideMark/>
          </w:tcPr>
          <w:p w14:paraId="47B35158" w14:textId="77777777" w:rsidR="00611DB7" w:rsidRDefault="00611DB7" w:rsidP="00C41999">
            <w:pPr>
              <w:jc w:val="center"/>
              <w:rPr>
                <w:kern w:val="0"/>
                <w:szCs w:val="21"/>
                <w14:ligatures w14:val="none"/>
              </w:rPr>
            </w:pPr>
            <w:r>
              <w:rPr>
                <w:b/>
                <w:bCs/>
                <w:color w:val="FFFFFF"/>
                <w:sz w:val="16"/>
                <w:szCs w:val="16"/>
              </w:rPr>
              <w:t>100</w:t>
            </w:r>
          </w:p>
          <w:p w14:paraId="7332279D" w14:textId="0C4ED7A3"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6626AF04" w14:textId="07D129D0"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w:t>
            </w:r>
            <w:r w:rsidR="00605961">
              <w:rPr>
                <w:rFonts w:eastAsia="Times New Roman" w:cs="Times New Roman"/>
                <w:b/>
                <w:bCs/>
                <w:color w:val="FFFFFF" w:themeColor="background1"/>
                <w:kern w:val="0"/>
                <w:sz w:val="16"/>
                <w:szCs w:val="16"/>
                <w:lang w:eastAsia="et-EE"/>
                <w14:ligatures w14:val="none"/>
              </w:rPr>
              <w:t>89</w:t>
            </w:r>
          </w:p>
        </w:tc>
        <w:tc>
          <w:tcPr>
            <w:tcW w:w="334" w:type="pct"/>
            <w:shd w:val="clear" w:color="auto" w:fill="0070C0"/>
            <w:noWrap/>
            <w:hideMark/>
          </w:tcPr>
          <w:p w14:paraId="5EA1160C" w14:textId="77777777" w:rsidR="00611DB7" w:rsidRDefault="00611DB7" w:rsidP="00C41999">
            <w:pPr>
              <w:jc w:val="center"/>
              <w:rPr>
                <w:kern w:val="0"/>
                <w:szCs w:val="21"/>
                <w14:ligatures w14:val="none"/>
              </w:rPr>
            </w:pPr>
            <w:r>
              <w:rPr>
                <w:b/>
                <w:bCs/>
                <w:color w:val="FFFFFF"/>
                <w:sz w:val="16"/>
                <w:szCs w:val="16"/>
              </w:rPr>
              <w:t>100</w:t>
            </w:r>
          </w:p>
          <w:p w14:paraId="751510EE" w14:textId="7A9FC6F8"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44376A8E" w14:textId="6576B5F1"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w:t>
            </w:r>
            <w:r w:rsidR="00F944CD" w:rsidRPr="00605961">
              <w:rPr>
                <w:rFonts w:eastAsia="Times New Roman" w:cs="Times New Roman"/>
                <w:b/>
                <w:bCs/>
                <w:color w:val="FFFFFF" w:themeColor="background1"/>
                <w:kern w:val="0"/>
                <w:sz w:val="16"/>
                <w:szCs w:val="16"/>
                <w:lang w:eastAsia="et-EE"/>
                <w14:ligatures w14:val="none"/>
              </w:rPr>
              <w:t>72</w:t>
            </w:r>
          </w:p>
        </w:tc>
        <w:tc>
          <w:tcPr>
            <w:tcW w:w="333" w:type="pct"/>
            <w:shd w:val="clear" w:color="auto" w:fill="0070C0"/>
            <w:noWrap/>
            <w:hideMark/>
          </w:tcPr>
          <w:p w14:paraId="7CFA70E2" w14:textId="77777777" w:rsidR="00611DB7" w:rsidRDefault="00611DB7" w:rsidP="00C41999">
            <w:pPr>
              <w:jc w:val="center"/>
              <w:rPr>
                <w:kern w:val="0"/>
                <w:szCs w:val="21"/>
                <w14:ligatures w14:val="none"/>
              </w:rPr>
            </w:pPr>
            <w:r>
              <w:rPr>
                <w:b/>
                <w:bCs/>
                <w:color w:val="FFFFFF"/>
                <w:sz w:val="16"/>
                <w:szCs w:val="16"/>
              </w:rPr>
              <w:t>100</w:t>
            </w:r>
          </w:p>
          <w:p w14:paraId="1CFF993D" w14:textId="23E756D2"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14A66FDC" w14:textId="5BD2E779"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w:t>
            </w:r>
            <w:r w:rsidR="00C52AC1">
              <w:rPr>
                <w:rFonts w:eastAsia="Times New Roman" w:cs="Times New Roman"/>
                <w:b/>
                <w:bCs/>
                <w:color w:val="FFFFFF" w:themeColor="background1"/>
                <w:kern w:val="0"/>
                <w:sz w:val="16"/>
                <w:szCs w:val="16"/>
                <w:lang w:eastAsia="et-EE"/>
                <w14:ligatures w14:val="none"/>
              </w:rPr>
              <w:t>72</w:t>
            </w:r>
          </w:p>
        </w:tc>
        <w:tc>
          <w:tcPr>
            <w:tcW w:w="331" w:type="pct"/>
            <w:shd w:val="clear" w:color="auto" w:fill="0070C0"/>
            <w:noWrap/>
            <w:hideMark/>
          </w:tcPr>
          <w:p w14:paraId="119318FA" w14:textId="77777777" w:rsidR="00611DB7" w:rsidRDefault="00611DB7" w:rsidP="00C41999">
            <w:pPr>
              <w:jc w:val="center"/>
              <w:rPr>
                <w:kern w:val="0"/>
                <w:szCs w:val="21"/>
                <w14:ligatures w14:val="none"/>
              </w:rPr>
            </w:pPr>
            <w:r>
              <w:rPr>
                <w:b/>
                <w:bCs/>
                <w:color w:val="FFFFFF"/>
                <w:sz w:val="16"/>
                <w:szCs w:val="16"/>
              </w:rPr>
              <w:t>100</w:t>
            </w:r>
          </w:p>
          <w:p w14:paraId="501E1553" w14:textId="122787D8"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r>
      <w:tr w:rsidR="00605961" w:rsidRPr="00605961" w14:paraId="01088804" w14:textId="77777777" w:rsidTr="00611DB7">
        <w:trPr>
          <w:trHeight w:val="300"/>
        </w:trPr>
        <w:tc>
          <w:tcPr>
            <w:tcW w:w="951" w:type="pct"/>
            <w:hideMark/>
          </w:tcPr>
          <w:p w14:paraId="162D7909"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pesu (vesi, elekter/aur, pesuvahend)</w:t>
            </w:r>
          </w:p>
        </w:tc>
        <w:tc>
          <w:tcPr>
            <w:tcW w:w="384" w:type="pct"/>
            <w:shd w:val="clear" w:color="auto" w:fill="F2F2F2" w:themeFill="background1" w:themeFillShade="F2"/>
            <w:noWrap/>
            <w:hideMark/>
          </w:tcPr>
          <w:p w14:paraId="69891A8B"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2" w:type="pct"/>
            <w:shd w:val="clear" w:color="auto" w:fill="F2F2F2" w:themeFill="background1" w:themeFillShade="F2"/>
            <w:noWrap/>
            <w:hideMark/>
          </w:tcPr>
          <w:p w14:paraId="4ABBB9CB" w14:textId="77777777" w:rsidR="00611DB7" w:rsidRDefault="00611DB7" w:rsidP="00C41999">
            <w:pPr>
              <w:jc w:val="center"/>
              <w:rPr>
                <w:kern w:val="0"/>
                <w:szCs w:val="21"/>
                <w14:ligatures w14:val="none"/>
              </w:rPr>
            </w:pPr>
            <w:r>
              <w:rPr>
                <w:color w:val="000000"/>
                <w:sz w:val="16"/>
                <w:szCs w:val="16"/>
              </w:rPr>
              <w:t>22</w:t>
            </w:r>
          </w:p>
          <w:p w14:paraId="4BCC4340" w14:textId="696E623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63CD8A5"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2" w:type="pct"/>
            <w:shd w:val="clear" w:color="auto" w:fill="F2F2F2" w:themeFill="background1" w:themeFillShade="F2"/>
            <w:noWrap/>
            <w:hideMark/>
          </w:tcPr>
          <w:p w14:paraId="3E6EBBC3" w14:textId="77777777" w:rsidR="00611DB7" w:rsidRDefault="00611DB7" w:rsidP="00C41999">
            <w:pPr>
              <w:jc w:val="center"/>
              <w:rPr>
                <w:kern w:val="0"/>
                <w:szCs w:val="21"/>
                <w14:ligatures w14:val="none"/>
              </w:rPr>
            </w:pPr>
            <w:r>
              <w:rPr>
                <w:color w:val="000000"/>
                <w:sz w:val="16"/>
                <w:szCs w:val="16"/>
              </w:rPr>
              <w:t>26</w:t>
            </w:r>
          </w:p>
          <w:p w14:paraId="17502F73" w14:textId="1CCB4DA7"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7A390BD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2" w:type="pct"/>
            <w:noWrap/>
            <w:hideMark/>
          </w:tcPr>
          <w:p w14:paraId="3B6383A6" w14:textId="77777777" w:rsidR="00611DB7" w:rsidRDefault="00611DB7" w:rsidP="00C41999">
            <w:pPr>
              <w:jc w:val="center"/>
              <w:rPr>
                <w:kern w:val="0"/>
                <w:szCs w:val="21"/>
                <w14:ligatures w14:val="none"/>
              </w:rPr>
            </w:pPr>
            <w:r>
              <w:rPr>
                <w:color w:val="000000"/>
                <w:sz w:val="16"/>
                <w:szCs w:val="16"/>
              </w:rPr>
              <w:t>31</w:t>
            </w:r>
          </w:p>
          <w:p w14:paraId="798838BA" w14:textId="470F9211"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79F5410F"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4" w:type="pct"/>
            <w:noWrap/>
            <w:hideMark/>
          </w:tcPr>
          <w:p w14:paraId="2DC4446B" w14:textId="77777777" w:rsidR="00611DB7" w:rsidRDefault="00611DB7" w:rsidP="00C41999">
            <w:pPr>
              <w:jc w:val="center"/>
              <w:rPr>
                <w:kern w:val="0"/>
                <w:szCs w:val="21"/>
                <w14:ligatures w14:val="none"/>
              </w:rPr>
            </w:pPr>
            <w:r>
              <w:rPr>
                <w:color w:val="000000"/>
                <w:sz w:val="16"/>
                <w:szCs w:val="16"/>
              </w:rPr>
              <w:t>35</w:t>
            </w:r>
          </w:p>
          <w:p w14:paraId="50CDE8A4" w14:textId="0A6DB4F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662AFBA"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3" w:type="pct"/>
            <w:shd w:val="clear" w:color="auto" w:fill="F2F2F2" w:themeFill="background1" w:themeFillShade="F2"/>
            <w:noWrap/>
            <w:hideMark/>
          </w:tcPr>
          <w:p w14:paraId="124ED732" w14:textId="77777777" w:rsidR="00611DB7" w:rsidRDefault="00611DB7" w:rsidP="00C41999">
            <w:pPr>
              <w:jc w:val="center"/>
              <w:rPr>
                <w:kern w:val="0"/>
                <w:szCs w:val="21"/>
                <w14:ligatures w14:val="none"/>
              </w:rPr>
            </w:pPr>
            <w:r>
              <w:rPr>
                <w:color w:val="000000"/>
                <w:sz w:val="16"/>
                <w:szCs w:val="16"/>
              </w:rPr>
              <w:t>31</w:t>
            </w:r>
          </w:p>
          <w:p w14:paraId="12FC2560" w14:textId="73F82921"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6E328D31"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0,016</w:t>
            </w:r>
          </w:p>
        </w:tc>
        <w:tc>
          <w:tcPr>
            <w:tcW w:w="331" w:type="pct"/>
            <w:shd w:val="clear" w:color="auto" w:fill="F2F2F2" w:themeFill="background1" w:themeFillShade="F2"/>
            <w:noWrap/>
            <w:hideMark/>
          </w:tcPr>
          <w:p w14:paraId="2C898F50" w14:textId="77777777" w:rsidR="00611DB7" w:rsidRDefault="00611DB7" w:rsidP="00C41999">
            <w:pPr>
              <w:jc w:val="center"/>
              <w:rPr>
                <w:kern w:val="0"/>
                <w:szCs w:val="21"/>
                <w14:ligatures w14:val="none"/>
              </w:rPr>
            </w:pPr>
            <w:r>
              <w:rPr>
                <w:color w:val="000000"/>
                <w:sz w:val="16"/>
                <w:szCs w:val="16"/>
              </w:rPr>
              <w:t>36</w:t>
            </w:r>
          </w:p>
          <w:p w14:paraId="245F8F48" w14:textId="3B79038A"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784E138D" w14:textId="77777777" w:rsidTr="00611DB7">
        <w:trPr>
          <w:trHeight w:val="300"/>
        </w:trPr>
        <w:tc>
          <w:tcPr>
            <w:tcW w:w="951" w:type="pct"/>
            <w:hideMark/>
          </w:tcPr>
          <w:p w14:paraId="3F56A02D"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tööjõud &amp; hooldus</w:t>
            </w:r>
          </w:p>
        </w:tc>
        <w:tc>
          <w:tcPr>
            <w:tcW w:w="384" w:type="pct"/>
            <w:shd w:val="clear" w:color="auto" w:fill="F2F2F2" w:themeFill="background1" w:themeFillShade="F2"/>
            <w:noWrap/>
            <w:hideMark/>
          </w:tcPr>
          <w:p w14:paraId="794BA3F4"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2" w:type="pct"/>
            <w:shd w:val="clear" w:color="auto" w:fill="F2F2F2" w:themeFill="background1" w:themeFillShade="F2"/>
            <w:noWrap/>
            <w:hideMark/>
          </w:tcPr>
          <w:p w14:paraId="795F019D" w14:textId="77777777" w:rsidR="00611DB7" w:rsidRDefault="00611DB7" w:rsidP="00C41999">
            <w:pPr>
              <w:jc w:val="center"/>
              <w:rPr>
                <w:kern w:val="0"/>
                <w:szCs w:val="21"/>
                <w14:ligatures w14:val="none"/>
              </w:rPr>
            </w:pPr>
            <w:r>
              <w:rPr>
                <w:color w:val="000000"/>
                <w:sz w:val="16"/>
                <w:szCs w:val="16"/>
              </w:rPr>
              <w:t>17</w:t>
            </w:r>
          </w:p>
          <w:p w14:paraId="65DDC97D" w14:textId="3885A02F"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887B860"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2" w:type="pct"/>
            <w:shd w:val="clear" w:color="auto" w:fill="F2F2F2" w:themeFill="background1" w:themeFillShade="F2"/>
            <w:noWrap/>
            <w:hideMark/>
          </w:tcPr>
          <w:p w14:paraId="49B63A6A" w14:textId="77777777" w:rsidR="00611DB7" w:rsidRDefault="00611DB7" w:rsidP="00C41999">
            <w:pPr>
              <w:jc w:val="center"/>
              <w:rPr>
                <w:kern w:val="0"/>
                <w:szCs w:val="21"/>
                <w14:ligatures w14:val="none"/>
              </w:rPr>
            </w:pPr>
            <w:r>
              <w:rPr>
                <w:color w:val="000000"/>
                <w:sz w:val="16"/>
                <w:szCs w:val="16"/>
              </w:rPr>
              <w:t>20</w:t>
            </w:r>
          </w:p>
          <w:p w14:paraId="59B8E6EE" w14:textId="3AD99F04"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2580312C"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noWrap/>
            <w:hideMark/>
          </w:tcPr>
          <w:p w14:paraId="02F45E27" w14:textId="77777777" w:rsidR="00611DB7" w:rsidRDefault="00611DB7" w:rsidP="00C41999">
            <w:pPr>
              <w:jc w:val="center"/>
              <w:rPr>
                <w:kern w:val="0"/>
                <w:szCs w:val="21"/>
                <w14:ligatures w14:val="none"/>
              </w:rPr>
            </w:pPr>
            <w:r>
              <w:rPr>
                <w:color w:val="000000"/>
                <w:sz w:val="16"/>
                <w:szCs w:val="16"/>
              </w:rPr>
              <w:t>9</w:t>
            </w:r>
          </w:p>
          <w:p w14:paraId="41EB305D" w14:textId="6DB63AA3"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76AB2F48"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4" w:type="pct"/>
            <w:noWrap/>
            <w:hideMark/>
          </w:tcPr>
          <w:p w14:paraId="1C422F1F" w14:textId="77777777" w:rsidR="00611DB7" w:rsidRDefault="00611DB7" w:rsidP="00C41999">
            <w:pPr>
              <w:jc w:val="center"/>
              <w:rPr>
                <w:kern w:val="0"/>
                <w:szCs w:val="21"/>
                <w14:ligatures w14:val="none"/>
              </w:rPr>
            </w:pPr>
            <w:r>
              <w:rPr>
                <w:color w:val="000000"/>
                <w:sz w:val="16"/>
                <w:szCs w:val="16"/>
              </w:rPr>
              <w:t>11</w:t>
            </w:r>
          </w:p>
          <w:p w14:paraId="2041D2A5" w14:textId="15E8BA5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183AD69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3" w:type="pct"/>
            <w:shd w:val="clear" w:color="auto" w:fill="F2F2F2" w:themeFill="background1" w:themeFillShade="F2"/>
            <w:noWrap/>
            <w:hideMark/>
          </w:tcPr>
          <w:p w14:paraId="73715B8A" w14:textId="77777777" w:rsidR="00611DB7" w:rsidRDefault="00611DB7" w:rsidP="00C41999">
            <w:pPr>
              <w:jc w:val="center"/>
              <w:rPr>
                <w:kern w:val="0"/>
                <w:szCs w:val="21"/>
                <w14:ligatures w14:val="none"/>
              </w:rPr>
            </w:pPr>
            <w:r>
              <w:rPr>
                <w:color w:val="000000"/>
                <w:sz w:val="16"/>
                <w:szCs w:val="16"/>
              </w:rPr>
              <w:t>9</w:t>
            </w:r>
          </w:p>
          <w:p w14:paraId="24471FBF" w14:textId="4717B46C"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5799A166"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1" w:type="pct"/>
            <w:shd w:val="clear" w:color="auto" w:fill="F2F2F2" w:themeFill="background1" w:themeFillShade="F2"/>
            <w:noWrap/>
            <w:hideMark/>
          </w:tcPr>
          <w:p w14:paraId="5380E9FD" w14:textId="77777777" w:rsidR="00611DB7" w:rsidRDefault="00611DB7" w:rsidP="00C41999">
            <w:pPr>
              <w:jc w:val="center"/>
              <w:rPr>
                <w:kern w:val="0"/>
                <w:szCs w:val="21"/>
                <w14:ligatures w14:val="none"/>
              </w:rPr>
            </w:pPr>
            <w:r>
              <w:rPr>
                <w:color w:val="000000"/>
                <w:sz w:val="16"/>
                <w:szCs w:val="16"/>
              </w:rPr>
              <w:t>10</w:t>
            </w:r>
          </w:p>
          <w:p w14:paraId="3BD1BD0B" w14:textId="3C3B8C44"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6BB5D218" w14:textId="77777777" w:rsidTr="00611DB7">
        <w:trPr>
          <w:trHeight w:val="300"/>
        </w:trPr>
        <w:tc>
          <w:tcPr>
            <w:tcW w:w="951" w:type="pct"/>
            <w:hideMark/>
          </w:tcPr>
          <w:p w14:paraId="66511024"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kogumine &amp; sorteerimine</w:t>
            </w:r>
          </w:p>
        </w:tc>
        <w:tc>
          <w:tcPr>
            <w:tcW w:w="384" w:type="pct"/>
            <w:shd w:val="clear" w:color="auto" w:fill="F2F2F2" w:themeFill="background1" w:themeFillShade="F2"/>
            <w:noWrap/>
            <w:hideMark/>
          </w:tcPr>
          <w:p w14:paraId="4EE52219"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2" w:type="pct"/>
            <w:shd w:val="clear" w:color="auto" w:fill="F2F2F2" w:themeFill="background1" w:themeFillShade="F2"/>
            <w:noWrap/>
            <w:hideMark/>
          </w:tcPr>
          <w:p w14:paraId="3F756221" w14:textId="77777777" w:rsidR="00611DB7" w:rsidRDefault="00611DB7" w:rsidP="00C41999">
            <w:pPr>
              <w:jc w:val="center"/>
              <w:rPr>
                <w:kern w:val="0"/>
                <w:szCs w:val="21"/>
                <w14:ligatures w14:val="none"/>
              </w:rPr>
            </w:pPr>
            <w:r>
              <w:rPr>
                <w:color w:val="000000"/>
                <w:sz w:val="16"/>
                <w:szCs w:val="16"/>
              </w:rPr>
              <w:t>8</w:t>
            </w:r>
          </w:p>
          <w:p w14:paraId="4759FDEF" w14:textId="016FF77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626FA665"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2" w:type="pct"/>
            <w:shd w:val="clear" w:color="auto" w:fill="F2F2F2" w:themeFill="background1" w:themeFillShade="F2"/>
            <w:noWrap/>
            <w:hideMark/>
          </w:tcPr>
          <w:p w14:paraId="0750D841" w14:textId="77777777" w:rsidR="00611DB7" w:rsidRDefault="00611DB7" w:rsidP="00C41999">
            <w:pPr>
              <w:jc w:val="center"/>
              <w:rPr>
                <w:kern w:val="0"/>
                <w:szCs w:val="21"/>
                <w14:ligatures w14:val="none"/>
              </w:rPr>
            </w:pPr>
            <w:r>
              <w:rPr>
                <w:color w:val="000000"/>
                <w:sz w:val="16"/>
                <w:szCs w:val="16"/>
              </w:rPr>
              <w:t>9</w:t>
            </w:r>
          </w:p>
          <w:p w14:paraId="704F5218" w14:textId="47C90EF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2E0D6805"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2" w:type="pct"/>
            <w:noWrap/>
            <w:hideMark/>
          </w:tcPr>
          <w:p w14:paraId="36285484" w14:textId="77777777" w:rsidR="00611DB7" w:rsidRDefault="00611DB7" w:rsidP="00C41999">
            <w:pPr>
              <w:jc w:val="center"/>
              <w:rPr>
                <w:kern w:val="0"/>
                <w:szCs w:val="21"/>
                <w14:ligatures w14:val="none"/>
              </w:rPr>
            </w:pPr>
            <w:r>
              <w:rPr>
                <w:color w:val="000000"/>
                <w:sz w:val="16"/>
                <w:szCs w:val="16"/>
              </w:rPr>
              <w:t>11</w:t>
            </w:r>
          </w:p>
          <w:p w14:paraId="535C40B0" w14:textId="34C9A0B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152A749C"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4" w:type="pct"/>
            <w:noWrap/>
            <w:hideMark/>
          </w:tcPr>
          <w:p w14:paraId="50D9AF36" w14:textId="77777777" w:rsidR="00611DB7" w:rsidRDefault="00611DB7" w:rsidP="00C41999">
            <w:pPr>
              <w:jc w:val="center"/>
              <w:rPr>
                <w:kern w:val="0"/>
                <w:szCs w:val="21"/>
                <w14:ligatures w14:val="none"/>
              </w:rPr>
            </w:pPr>
            <w:r>
              <w:rPr>
                <w:color w:val="000000"/>
                <w:sz w:val="16"/>
                <w:szCs w:val="16"/>
              </w:rPr>
              <w:t>13</w:t>
            </w:r>
          </w:p>
          <w:p w14:paraId="18C841E4" w14:textId="1DDD60D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55948AAA"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3" w:type="pct"/>
            <w:shd w:val="clear" w:color="auto" w:fill="F2F2F2" w:themeFill="background1" w:themeFillShade="F2"/>
            <w:noWrap/>
            <w:hideMark/>
          </w:tcPr>
          <w:p w14:paraId="1B74A5E6" w14:textId="77777777" w:rsidR="00611DB7" w:rsidRDefault="00611DB7" w:rsidP="00C41999">
            <w:pPr>
              <w:jc w:val="center"/>
              <w:rPr>
                <w:kern w:val="0"/>
                <w:szCs w:val="21"/>
                <w14:ligatures w14:val="none"/>
              </w:rPr>
            </w:pPr>
            <w:r>
              <w:rPr>
                <w:color w:val="000000"/>
                <w:sz w:val="16"/>
                <w:szCs w:val="16"/>
              </w:rPr>
              <w:t>11</w:t>
            </w:r>
          </w:p>
          <w:p w14:paraId="3E98767F" w14:textId="636B0390"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7A06BEB3"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0,006</w:t>
            </w:r>
          </w:p>
        </w:tc>
        <w:tc>
          <w:tcPr>
            <w:tcW w:w="331" w:type="pct"/>
            <w:shd w:val="clear" w:color="auto" w:fill="F2F2F2" w:themeFill="background1" w:themeFillShade="F2"/>
            <w:noWrap/>
            <w:hideMark/>
          </w:tcPr>
          <w:p w14:paraId="22D48F5C" w14:textId="77777777" w:rsidR="00611DB7" w:rsidRDefault="00611DB7" w:rsidP="00C41999">
            <w:pPr>
              <w:jc w:val="center"/>
              <w:rPr>
                <w:kern w:val="0"/>
                <w:szCs w:val="21"/>
                <w14:ligatures w14:val="none"/>
              </w:rPr>
            </w:pPr>
            <w:r>
              <w:rPr>
                <w:color w:val="000000"/>
                <w:sz w:val="16"/>
                <w:szCs w:val="16"/>
              </w:rPr>
              <w:t>13</w:t>
            </w:r>
          </w:p>
          <w:p w14:paraId="6FCECDB0" w14:textId="67F7A728"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198920AF" w14:textId="77777777" w:rsidTr="00611DB7">
        <w:trPr>
          <w:trHeight w:val="300"/>
        </w:trPr>
        <w:tc>
          <w:tcPr>
            <w:tcW w:w="951" w:type="pct"/>
            <w:hideMark/>
          </w:tcPr>
          <w:p w14:paraId="3949D7FB"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pakendite kulumisest tingitud asenduskulu (jooksev)</w:t>
            </w:r>
          </w:p>
        </w:tc>
        <w:tc>
          <w:tcPr>
            <w:tcW w:w="384" w:type="pct"/>
            <w:shd w:val="clear" w:color="auto" w:fill="F2F2F2" w:themeFill="background1" w:themeFillShade="F2"/>
            <w:noWrap/>
            <w:hideMark/>
          </w:tcPr>
          <w:p w14:paraId="60EF9C5C"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0,035</w:t>
            </w:r>
          </w:p>
        </w:tc>
        <w:tc>
          <w:tcPr>
            <w:tcW w:w="332" w:type="pct"/>
            <w:shd w:val="clear" w:color="auto" w:fill="F2F2F2" w:themeFill="background1" w:themeFillShade="F2"/>
            <w:noWrap/>
            <w:hideMark/>
          </w:tcPr>
          <w:p w14:paraId="7B5171AD" w14:textId="77777777" w:rsidR="00611DB7" w:rsidRDefault="00611DB7" w:rsidP="00C41999">
            <w:pPr>
              <w:jc w:val="center"/>
              <w:rPr>
                <w:kern w:val="0"/>
                <w:szCs w:val="21"/>
                <w14:ligatures w14:val="none"/>
              </w:rPr>
            </w:pPr>
            <w:r>
              <w:rPr>
                <w:color w:val="000000"/>
                <w:sz w:val="16"/>
                <w:szCs w:val="16"/>
              </w:rPr>
              <w:t>46</w:t>
            </w:r>
          </w:p>
          <w:p w14:paraId="634E7001" w14:textId="62809E9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532BB67F"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0,023</w:t>
            </w:r>
          </w:p>
        </w:tc>
        <w:tc>
          <w:tcPr>
            <w:tcW w:w="332" w:type="pct"/>
            <w:shd w:val="clear" w:color="auto" w:fill="F2F2F2" w:themeFill="background1" w:themeFillShade="F2"/>
            <w:noWrap/>
            <w:hideMark/>
          </w:tcPr>
          <w:p w14:paraId="322A4679" w14:textId="77777777" w:rsidR="00611DB7" w:rsidRDefault="00611DB7" w:rsidP="00C41999">
            <w:pPr>
              <w:jc w:val="center"/>
              <w:rPr>
                <w:kern w:val="0"/>
                <w:szCs w:val="21"/>
                <w14:ligatures w14:val="none"/>
              </w:rPr>
            </w:pPr>
            <w:r>
              <w:rPr>
                <w:color w:val="000000"/>
                <w:sz w:val="16"/>
                <w:szCs w:val="16"/>
              </w:rPr>
              <w:t>36</w:t>
            </w:r>
          </w:p>
          <w:p w14:paraId="4F0501B3" w14:textId="3D604B01"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0E1F0885"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0,020</w:t>
            </w:r>
          </w:p>
        </w:tc>
        <w:tc>
          <w:tcPr>
            <w:tcW w:w="332" w:type="pct"/>
            <w:noWrap/>
            <w:hideMark/>
          </w:tcPr>
          <w:p w14:paraId="05959D99" w14:textId="77777777" w:rsidR="00611DB7" w:rsidRDefault="00611DB7" w:rsidP="00C41999">
            <w:pPr>
              <w:jc w:val="center"/>
              <w:rPr>
                <w:kern w:val="0"/>
                <w:szCs w:val="21"/>
                <w14:ligatures w14:val="none"/>
              </w:rPr>
            </w:pPr>
            <w:r>
              <w:rPr>
                <w:color w:val="000000"/>
                <w:sz w:val="16"/>
                <w:szCs w:val="16"/>
              </w:rPr>
              <w:t>38</w:t>
            </w:r>
          </w:p>
          <w:p w14:paraId="57969DA6" w14:textId="5113F472"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482AC025"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4" w:type="pct"/>
            <w:noWrap/>
            <w:hideMark/>
          </w:tcPr>
          <w:p w14:paraId="0747BE2F" w14:textId="77777777" w:rsidR="00611DB7" w:rsidRDefault="00611DB7" w:rsidP="00C41999">
            <w:pPr>
              <w:jc w:val="center"/>
              <w:rPr>
                <w:kern w:val="0"/>
                <w:szCs w:val="21"/>
                <w14:ligatures w14:val="none"/>
              </w:rPr>
            </w:pPr>
            <w:r>
              <w:rPr>
                <w:color w:val="000000"/>
                <w:sz w:val="16"/>
                <w:szCs w:val="16"/>
              </w:rPr>
              <w:t>29</w:t>
            </w:r>
          </w:p>
          <w:p w14:paraId="2B1A394A" w14:textId="617CAEB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28148A4D"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0,020</w:t>
            </w:r>
          </w:p>
        </w:tc>
        <w:tc>
          <w:tcPr>
            <w:tcW w:w="333" w:type="pct"/>
            <w:shd w:val="clear" w:color="auto" w:fill="F2F2F2" w:themeFill="background1" w:themeFillShade="F2"/>
            <w:noWrap/>
            <w:hideMark/>
          </w:tcPr>
          <w:p w14:paraId="2DC7F6A2" w14:textId="77777777" w:rsidR="00611DB7" w:rsidRDefault="00611DB7" w:rsidP="00C41999">
            <w:pPr>
              <w:jc w:val="center"/>
              <w:rPr>
                <w:kern w:val="0"/>
                <w:szCs w:val="21"/>
                <w14:ligatures w14:val="none"/>
              </w:rPr>
            </w:pPr>
            <w:r>
              <w:rPr>
                <w:color w:val="000000"/>
                <w:sz w:val="16"/>
                <w:szCs w:val="16"/>
              </w:rPr>
              <w:t>39</w:t>
            </w:r>
          </w:p>
          <w:p w14:paraId="370A6B37" w14:textId="33A0757C"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25BFDC26"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1" w:type="pct"/>
            <w:shd w:val="clear" w:color="auto" w:fill="F2F2F2" w:themeFill="background1" w:themeFillShade="F2"/>
            <w:noWrap/>
            <w:hideMark/>
          </w:tcPr>
          <w:p w14:paraId="537E610A" w14:textId="77777777" w:rsidR="00611DB7" w:rsidRDefault="00611DB7" w:rsidP="00C41999">
            <w:pPr>
              <w:jc w:val="center"/>
              <w:rPr>
                <w:kern w:val="0"/>
                <w:szCs w:val="21"/>
                <w14:ligatures w14:val="none"/>
              </w:rPr>
            </w:pPr>
            <w:r>
              <w:rPr>
                <w:color w:val="000000"/>
                <w:sz w:val="16"/>
                <w:szCs w:val="16"/>
              </w:rPr>
              <w:t>30</w:t>
            </w:r>
          </w:p>
          <w:p w14:paraId="4C6D5600" w14:textId="08E1A4DD"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4A2B7596" w14:textId="77777777" w:rsidTr="00611DB7">
        <w:trPr>
          <w:trHeight w:val="300"/>
        </w:trPr>
        <w:tc>
          <w:tcPr>
            <w:tcW w:w="951" w:type="pct"/>
            <w:hideMark/>
          </w:tcPr>
          <w:p w14:paraId="3CB79584"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kadu/purunemine asendus</w:t>
            </w:r>
          </w:p>
        </w:tc>
        <w:tc>
          <w:tcPr>
            <w:tcW w:w="384" w:type="pct"/>
            <w:shd w:val="clear" w:color="auto" w:fill="F2F2F2" w:themeFill="background1" w:themeFillShade="F2"/>
            <w:noWrap/>
            <w:hideMark/>
          </w:tcPr>
          <w:p w14:paraId="69EFCEC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shd w:val="clear" w:color="auto" w:fill="F2F2F2" w:themeFill="background1" w:themeFillShade="F2"/>
            <w:noWrap/>
            <w:hideMark/>
          </w:tcPr>
          <w:p w14:paraId="4CF05245" w14:textId="77777777" w:rsidR="00611DB7" w:rsidRDefault="00611DB7" w:rsidP="00C41999">
            <w:pPr>
              <w:jc w:val="center"/>
              <w:rPr>
                <w:kern w:val="0"/>
                <w:szCs w:val="21"/>
                <w14:ligatures w14:val="none"/>
              </w:rPr>
            </w:pPr>
            <w:r>
              <w:rPr>
                <w:color w:val="000000"/>
                <w:sz w:val="16"/>
                <w:szCs w:val="16"/>
              </w:rPr>
              <w:t>7</w:t>
            </w:r>
          </w:p>
          <w:p w14:paraId="2FDCA2BA" w14:textId="14DBBD0D"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E5B8BC4"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shd w:val="clear" w:color="auto" w:fill="F2F2F2" w:themeFill="background1" w:themeFillShade="F2"/>
            <w:noWrap/>
            <w:hideMark/>
          </w:tcPr>
          <w:p w14:paraId="1F98E05B" w14:textId="77777777" w:rsidR="00611DB7" w:rsidRDefault="00611DB7" w:rsidP="00C41999">
            <w:pPr>
              <w:jc w:val="center"/>
              <w:rPr>
                <w:kern w:val="0"/>
                <w:szCs w:val="21"/>
                <w14:ligatures w14:val="none"/>
              </w:rPr>
            </w:pPr>
            <w:r>
              <w:rPr>
                <w:color w:val="000000"/>
                <w:sz w:val="16"/>
                <w:szCs w:val="16"/>
              </w:rPr>
              <w:t>8</w:t>
            </w:r>
          </w:p>
          <w:p w14:paraId="590DC202" w14:textId="60A7C762"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7FD89E7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noWrap/>
            <w:hideMark/>
          </w:tcPr>
          <w:p w14:paraId="33BB4AD1" w14:textId="77777777" w:rsidR="00611DB7" w:rsidRDefault="00611DB7" w:rsidP="00C41999">
            <w:pPr>
              <w:jc w:val="center"/>
              <w:rPr>
                <w:kern w:val="0"/>
                <w:szCs w:val="21"/>
                <w14:ligatures w14:val="none"/>
              </w:rPr>
            </w:pPr>
            <w:r>
              <w:rPr>
                <w:color w:val="000000"/>
                <w:sz w:val="16"/>
                <w:szCs w:val="16"/>
              </w:rPr>
              <w:t>10</w:t>
            </w:r>
          </w:p>
          <w:p w14:paraId="34442FF8" w14:textId="69105C8C"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36F116EF"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4" w:type="pct"/>
            <w:noWrap/>
            <w:hideMark/>
          </w:tcPr>
          <w:p w14:paraId="2685234B" w14:textId="77777777" w:rsidR="00611DB7" w:rsidRDefault="00611DB7" w:rsidP="00C41999">
            <w:pPr>
              <w:jc w:val="center"/>
              <w:rPr>
                <w:kern w:val="0"/>
                <w:szCs w:val="21"/>
                <w14:ligatures w14:val="none"/>
              </w:rPr>
            </w:pPr>
            <w:r>
              <w:rPr>
                <w:sz w:val="16"/>
                <w:szCs w:val="16"/>
              </w:rPr>
              <w:t>11</w:t>
            </w:r>
          </w:p>
          <w:p w14:paraId="5A09A07F" w14:textId="30A434A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E5F0187"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3" w:type="pct"/>
            <w:shd w:val="clear" w:color="auto" w:fill="F2F2F2" w:themeFill="background1" w:themeFillShade="F2"/>
            <w:noWrap/>
            <w:hideMark/>
          </w:tcPr>
          <w:p w14:paraId="1F97F08B" w14:textId="77777777" w:rsidR="00611DB7" w:rsidRDefault="00611DB7" w:rsidP="00C41999">
            <w:pPr>
              <w:jc w:val="center"/>
              <w:rPr>
                <w:kern w:val="0"/>
                <w:szCs w:val="21"/>
                <w14:ligatures w14:val="none"/>
              </w:rPr>
            </w:pPr>
            <w:r>
              <w:rPr>
                <w:color w:val="000000"/>
                <w:sz w:val="16"/>
                <w:szCs w:val="16"/>
              </w:rPr>
              <w:t>9</w:t>
            </w:r>
          </w:p>
          <w:p w14:paraId="5DCA6644" w14:textId="2892B78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8C230D2"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1" w:type="pct"/>
            <w:shd w:val="clear" w:color="auto" w:fill="F2F2F2" w:themeFill="background1" w:themeFillShade="F2"/>
            <w:noWrap/>
            <w:hideMark/>
          </w:tcPr>
          <w:p w14:paraId="0630FC2D" w14:textId="77777777" w:rsidR="00611DB7" w:rsidRDefault="00611DB7" w:rsidP="00C41999">
            <w:pPr>
              <w:jc w:val="center"/>
              <w:rPr>
                <w:kern w:val="0"/>
                <w:szCs w:val="21"/>
                <w14:ligatures w14:val="none"/>
              </w:rPr>
            </w:pPr>
            <w:r>
              <w:rPr>
                <w:color w:val="000000"/>
                <w:sz w:val="16"/>
                <w:szCs w:val="16"/>
              </w:rPr>
              <w:t>11</w:t>
            </w:r>
          </w:p>
          <w:p w14:paraId="0CD7B445" w14:textId="3BFD79A8" w:rsidR="00605961" w:rsidRPr="00605961" w:rsidRDefault="00605961" w:rsidP="00C41999">
            <w:pPr>
              <w:jc w:val="center"/>
              <w:rPr>
                <w:rFonts w:eastAsia="Times New Roman" w:cs="Times New Roman"/>
                <w:color w:val="000000"/>
                <w:kern w:val="0"/>
                <w:sz w:val="16"/>
                <w:szCs w:val="16"/>
                <w:lang w:eastAsia="et-EE"/>
                <w14:ligatures w14:val="none"/>
              </w:rPr>
            </w:pPr>
          </w:p>
        </w:tc>
      </w:tr>
      <w:tr w:rsidR="00605961" w:rsidRPr="00605961" w14:paraId="526C1202" w14:textId="77777777" w:rsidTr="00611DB7">
        <w:trPr>
          <w:trHeight w:val="300"/>
        </w:trPr>
        <w:tc>
          <w:tcPr>
            <w:tcW w:w="951" w:type="pct"/>
            <w:hideMark/>
          </w:tcPr>
          <w:p w14:paraId="004AD004" w14:textId="77777777" w:rsidR="00605961" w:rsidRPr="00605961" w:rsidRDefault="00605961" w:rsidP="00605961">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 jäätmed (korduskasutus)</w:t>
            </w:r>
          </w:p>
        </w:tc>
        <w:tc>
          <w:tcPr>
            <w:tcW w:w="384" w:type="pct"/>
            <w:shd w:val="clear" w:color="auto" w:fill="F2F2F2" w:themeFill="background1" w:themeFillShade="F2"/>
            <w:noWrap/>
            <w:hideMark/>
          </w:tcPr>
          <w:p w14:paraId="511AD8BB"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0,001</w:t>
            </w:r>
          </w:p>
        </w:tc>
        <w:tc>
          <w:tcPr>
            <w:tcW w:w="332" w:type="pct"/>
            <w:shd w:val="clear" w:color="auto" w:fill="F2F2F2" w:themeFill="background1" w:themeFillShade="F2"/>
            <w:noWrap/>
            <w:hideMark/>
          </w:tcPr>
          <w:p w14:paraId="799C8EB3" w14:textId="77777777" w:rsidR="00611DB7" w:rsidRDefault="00611DB7" w:rsidP="00C41999">
            <w:pPr>
              <w:jc w:val="center"/>
              <w:rPr>
                <w:kern w:val="0"/>
                <w:szCs w:val="21"/>
                <w14:ligatures w14:val="none"/>
              </w:rPr>
            </w:pPr>
            <w:r>
              <w:rPr>
                <w:color w:val="000000"/>
                <w:sz w:val="16"/>
                <w:szCs w:val="16"/>
              </w:rPr>
              <w:t>1</w:t>
            </w:r>
          </w:p>
          <w:p w14:paraId="0DF96F61" w14:textId="39EAA3D9"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5329E40" w14:textId="1E6D099A"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w:t>
            </w:r>
            <w:r>
              <w:rPr>
                <w:rFonts w:eastAsia="Times New Roman" w:cs="Times New Roman"/>
                <w:color w:val="000000"/>
                <w:kern w:val="0"/>
                <w:sz w:val="16"/>
                <w:szCs w:val="16"/>
                <w:lang w:eastAsia="et-EE"/>
                <w14:ligatures w14:val="none"/>
              </w:rPr>
              <w:t>1</w:t>
            </w:r>
          </w:p>
        </w:tc>
        <w:tc>
          <w:tcPr>
            <w:tcW w:w="332" w:type="pct"/>
            <w:shd w:val="clear" w:color="auto" w:fill="F2F2F2" w:themeFill="background1" w:themeFillShade="F2"/>
            <w:noWrap/>
            <w:hideMark/>
          </w:tcPr>
          <w:p w14:paraId="5D178EFF" w14:textId="77777777" w:rsidR="00611DB7" w:rsidRDefault="00611DB7" w:rsidP="00C41999">
            <w:pPr>
              <w:jc w:val="center"/>
              <w:rPr>
                <w:kern w:val="0"/>
                <w:szCs w:val="21"/>
                <w14:ligatures w14:val="none"/>
              </w:rPr>
            </w:pPr>
            <w:r>
              <w:rPr>
                <w:color w:val="000000"/>
                <w:sz w:val="16"/>
                <w:szCs w:val="16"/>
              </w:rPr>
              <w:t>1</w:t>
            </w:r>
          </w:p>
          <w:p w14:paraId="71EDD80F" w14:textId="71296BC0"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4C86BD58"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0,001</w:t>
            </w:r>
          </w:p>
        </w:tc>
        <w:tc>
          <w:tcPr>
            <w:tcW w:w="332" w:type="pct"/>
            <w:noWrap/>
            <w:hideMark/>
          </w:tcPr>
          <w:p w14:paraId="4D4A86A9" w14:textId="77777777" w:rsidR="00611DB7" w:rsidRDefault="00611DB7" w:rsidP="00C41999">
            <w:pPr>
              <w:jc w:val="center"/>
              <w:rPr>
                <w:kern w:val="0"/>
                <w:szCs w:val="21"/>
                <w14:ligatures w14:val="none"/>
              </w:rPr>
            </w:pPr>
            <w:r>
              <w:rPr>
                <w:color w:val="000000"/>
                <w:sz w:val="16"/>
                <w:szCs w:val="16"/>
              </w:rPr>
              <w:t>1</w:t>
            </w:r>
          </w:p>
          <w:p w14:paraId="681AC995" w14:textId="6CCB460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noWrap/>
            <w:hideMark/>
          </w:tcPr>
          <w:p w14:paraId="66B4598E"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0,000</w:t>
            </w:r>
          </w:p>
        </w:tc>
        <w:tc>
          <w:tcPr>
            <w:tcW w:w="334" w:type="pct"/>
            <w:noWrap/>
            <w:hideMark/>
          </w:tcPr>
          <w:p w14:paraId="65CFA172" w14:textId="77777777" w:rsidR="00611DB7" w:rsidRDefault="00611DB7" w:rsidP="00C41999">
            <w:pPr>
              <w:jc w:val="center"/>
              <w:rPr>
                <w:kern w:val="0"/>
                <w:szCs w:val="21"/>
                <w14:ligatures w14:val="none"/>
              </w:rPr>
            </w:pPr>
            <w:r>
              <w:rPr>
                <w:sz w:val="16"/>
                <w:szCs w:val="16"/>
              </w:rPr>
              <w:t>0,2</w:t>
            </w:r>
          </w:p>
          <w:p w14:paraId="2FDC832A" w14:textId="088EB558"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9A0AF49" w14:textId="71B3678E"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0,001</w:t>
            </w:r>
          </w:p>
        </w:tc>
        <w:tc>
          <w:tcPr>
            <w:tcW w:w="333" w:type="pct"/>
            <w:shd w:val="clear" w:color="auto" w:fill="F2F2F2" w:themeFill="background1" w:themeFillShade="F2"/>
            <w:noWrap/>
            <w:hideMark/>
          </w:tcPr>
          <w:p w14:paraId="32F97B71" w14:textId="77777777" w:rsidR="00611DB7" w:rsidRDefault="00611DB7" w:rsidP="00C41999">
            <w:pPr>
              <w:jc w:val="center"/>
              <w:rPr>
                <w:kern w:val="0"/>
                <w:szCs w:val="21"/>
                <w14:ligatures w14:val="none"/>
              </w:rPr>
            </w:pPr>
            <w:r>
              <w:rPr>
                <w:color w:val="000000"/>
                <w:sz w:val="16"/>
                <w:szCs w:val="16"/>
              </w:rPr>
              <w:t>1</w:t>
            </w:r>
          </w:p>
          <w:p w14:paraId="647152DE" w14:textId="62B0C81A" w:rsidR="00605961" w:rsidRPr="00605961" w:rsidRDefault="00605961"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6A84F632" w14:textId="77777777" w:rsidR="00605961" w:rsidRPr="00605961" w:rsidRDefault="00605961"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0,000</w:t>
            </w:r>
          </w:p>
        </w:tc>
        <w:tc>
          <w:tcPr>
            <w:tcW w:w="331" w:type="pct"/>
            <w:shd w:val="clear" w:color="auto" w:fill="F2F2F2" w:themeFill="background1" w:themeFillShade="F2"/>
            <w:noWrap/>
            <w:hideMark/>
          </w:tcPr>
          <w:p w14:paraId="07B609BE" w14:textId="77777777" w:rsidR="00611DB7" w:rsidRDefault="00611DB7" w:rsidP="00C41999">
            <w:pPr>
              <w:jc w:val="center"/>
              <w:rPr>
                <w:kern w:val="0"/>
                <w:szCs w:val="21"/>
                <w14:ligatures w14:val="none"/>
              </w:rPr>
            </w:pPr>
            <w:r>
              <w:rPr>
                <w:color w:val="000000"/>
                <w:sz w:val="16"/>
                <w:szCs w:val="16"/>
              </w:rPr>
              <w:t>1</w:t>
            </w:r>
          </w:p>
          <w:p w14:paraId="09E5DD6B" w14:textId="3D2D2375" w:rsidR="00605961" w:rsidRPr="00605961" w:rsidRDefault="00605961" w:rsidP="00C41999">
            <w:pPr>
              <w:jc w:val="center"/>
              <w:rPr>
                <w:rFonts w:eastAsia="Times New Roman" w:cs="Times New Roman"/>
                <w:color w:val="000000"/>
                <w:kern w:val="0"/>
                <w:sz w:val="16"/>
                <w:szCs w:val="16"/>
                <w:lang w:eastAsia="et-EE"/>
                <w14:ligatures w14:val="none"/>
              </w:rPr>
            </w:pPr>
          </w:p>
        </w:tc>
      </w:tr>
      <w:tr w:rsidR="00F944CD" w:rsidRPr="00605961" w14:paraId="44108ECF" w14:textId="77777777" w:rsidTr="00611DB7">
        <w:trPr>
          <w:trHeight w:val="300"/>
        </w:trPr>
        <w:tc>
          <w:tcPr>
            <w:tcW w:w="951" w:type="pct"/>
            <w:shd w:val="clear" w:color="auto" w:fill="0070C0"/>
            <w:hideMark/>
          </w:tcPr>
          <w:p w14:paraId="16FBC327" w14:textId="430D23E3" w:rsidR="00285AD2" w:rsidRPr="00605961" w:rsidRDefault="00285AD2" w:rsidP="00285AD2">
            <w:pPr>
              <w:jc w:val="left"/>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II OPEX KOKKU</w:t>
            </w:r>
          </w:p>
        </w:tc>
        <w:tc>
          <w:tcPr>
            <w:tcW w:w="384" w:type="pct"/>
            <w:shd w:val="clear" w:color="auto" w:fill="0070C0"/>
            <w:noWrap/>
            <w:hideMark/>
          </w:tcPr>
          <w:p w14:paraId="537A5C46"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0,075</w:t>
            </w:r>
          </w:p>
        </w:tc>
        <w:tc>
          <w:tcPr>
            <w:tcW w:w="332" w:type="pct"/>
            <w:shd w:val="clear" w:color="auto" w:fill="0070C0"/>
            <w:noWrap/>
            <w:hideMark/>
          </w:tcPr>
          <w:p w14:paraId="79C640C3" w14:textId="77777777" w:rsidR="00611DB7" w:rsidRDefault="00611DB7" w:rsidP="00C41999">
            <w:pPr>
              <w:jc w:val="center"/>
              <w:rPr>
                <w:kern w:val="0"/>
                <w:szCs w:val="21"/>
                <w14:ligatures w14:val="none"/>
              </w:rPr>
            </w:pPr>
            <w:r>
              <w:rPr>
                <w:b/>
                <w:bCs/>
                <w:color w:val="FFFFFF"/>
                <w:sz w:val="16"/>
                <w:szCs w:val="16"/>
              </w:rPr>
              <w:t>100</w:t>
            </w:r>
          </w:p>
          <w:p w14:paraId="1832D09C" w14:textId="1930A212"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7079A8B7"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0,063</w:t>
            </w:r>
          </w:p>
        </w:tc>
        <w:tc>
          <w:tcPr>
            <w:tcW w:w="332" w:type="pct"/>
            <w:shd w:val="clear" w:color="auto" w:fill="0070C0"/>
            <w:noWrap/>
            <w:hideMark/>
          </w:tcPr>
          <w:p w14:paraId="6F1AB82B" w14:textId="77777777" w:rsidR="00611DB7" w:rsidRDefault="00611DB7" w:rsidP="00C41999">
            <w:pPr>
              <w:jc w:val="center"/>
              <w:rPr>
                <w:kern w:val="0"/>
                <w:szCs w:val="21"/>
                <w14:ligatures w14:val="none"/>
              </w:rPr>
            </w:pPr>
            <w:r>
              <w:rPr>
                <w:b/>
                <w:bCs/>
                <w:color w:val="FFFFFF"/>
                <w:sz w:val="16"/>
                <w:szCs w:val="16"/>
              </w:rPr>
              <w:t>100</w:t>
            </w:r>
          </w:p>
          <w:p w14:paraId="064A6F97" w14:textId="2F1C6350"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70A7B81D"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0,052</w:t>
            </w:r>
          </w:p>
        </w:tc>
        <w:tc>
          <w:tcPr>
            <w:tcW w:w="332" w:type="pct"/>
            <w:shd w:val="clear" w:color="auto" w:fill="0070C0"/>
            <w:noWrap/>
            <w:hideMark/>
          </w:tcPr>
          <w:p w14:paraId="56C664DA" w14:textId="77777777" w:rsidR="00611DB7" w:rsidRDefault="00611DB7" w:rsidP="00C41999">
            <w:pPr>
              <w:jc w:val="center"/>
              <w:rPr>
                <w:kern w:val="0"/>
                <w:szCs w:val="21"/>
                <w14:ligatures w14:val="none"/>
              </w:rPr>
            </w:pPr>
            <w:r>
              <w:rPr>
                <w:b/>
                <w:bCs/>
                <w:color w:val="FFFFFF"/>
                <w:sz w:val="16"/>
                <w:szCs w:val="16"/>
              </w:rPr>
              <w:t>100</w:t>
            </w:r>
          </w:p>
          <w:p w14:paraId="6D4F1C94" w14:textId="58DDF9D6"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0F085746"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0,045</w:t>
            </w:r>
          </w:p>
        </w:tc>
        <w:tc>
          <w:tcPr>
            <w:tcW w:w="334" w:type="pct"/>
            <w:shd w:val="clear" w:color="auto" w:fill="0070C0"/>
            <w:noWrap/>
            <w:hideMark/>
          </w:tcPr>
          <w:p w14:paraId="28CD50EC" w14:textId="77777777" w:rsidR="00611DB7" w:rsidRDefault="00611DB7" w:rsidP="00C41999">
            <w:pPr>
              <w:jc w:val="center"/>
              <w:rPr>
                <w:kern w:val="0"/>
                <w:szCs w:val="21"/>
                <w14:ligatures w14:val="none"/>
              </w:rPr>
            </w:pPr>
            <w:r>
              <w:rPr>
                <w:b/>
                <w:bCs/>
                <w:color w:val="FFFFFF"/>
                <w:sz w:val="16"/>
                <w:szCs w:val="16"/>
              </w:rPr>
              <w:t>100</w:t>
            </w:r>
          </w:p>
          <w:p w14:paraId="4E08D57F" w14:textId="1A14BE18"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43F34466"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0,052</w:t>
            </w:r>
          </w:p>
        </w:tc>
        <w:tc>
          <w:tcPr>
            <w:tcW w:w="333" w:type="pct"/>
            <w:shd w:val="clear" w:color="auto" w:fill="0070C0"/>
            <w:noWrap/>
            <w:hideMark/>
          </w:tcPr>
          <w:p w14:paraId="5C94E5BC" w14:textId="77777777" w:rsidR="00611DB7" w:rsidRDefault="00611DB7" w:rsidP="00C41999">
            <w:pPr>
              <w:jc w:val="center"/>
              <w:rPr>
                <w:kern w:val="0"/>
                <w:szCs w:val="21"/>
                <w14:ligatures w14:val="none"/>
              </w:rPr>
            </w:pPr>
            <w:r>
              <w:rPr>
                <w:b/>
                <w:bCs/>
                <w:color w:val="FFFFFF"/>
                <w:sz w:val="16"/>
                <w:szCs w:val="16"/>
              </w:rPr>
              <w:t>100</w:t>
            </w:r>
          </w:p>
          <w:p w14:paraId="6693E008" w14:textId="7EA35F88"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52069116"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0,045</w:t>
            </w:r>
          </w:p>
        </w:tc>
        <w:tc>
          <w:tcPr>
            <w:tcW w:w="331" w:type="pct"/>
            <w:shd w:val="clear" w:color="auto" w:fill="0070C0"/>
            <w:noWrap/>
            <w:hideMark/>
          </w:tcPr>
          <w:p w14:paraId="7283FA70" w14:textId="77777777" w:rsidR="00611DB7" w:rsidRDefault="00611DB7" w:rsidP="00C41999">
            <w:pPr>
              <w:jc w:val="center"/>
              <w:rPr>
                <w:kern w:val="0"/>
                <w:szCs w:val="21"/>
                <w14:ligatures w14:val="none"/>
              </w:rPr>
            </w:pPr>
            <w:r>
              <w:rPr>
                <w:b/>
                <w:bCs/>
                <w:color w:val="FFFFFF"/>
                <w:sz w:val="16"/>
                <w:szCs w:val="16"/>
              </w:rPr>
              <w:t>100</w:t>
            </w:r>
          </w:p>
          <w:p w14:paraId="60F8CE55" w14:textId="0F56082A"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r>
      <w:tr w:rsidR="00D60920" w:rsidRPr="00605961" w14:paraId="5A565A66" w14:textId="77777777" w:rsidTr="00611DB7">
        <w:trPr>
          <w:trHeight w:val="300"/>
        </w:trPr>
        <w:tc>
          <w:tcPr>
            <w:tcW w:w="951" w:type="pct"/>
            <w:hideMark/>
          </w:tcPr>
          <w:p w14:paraId="17B9A775" w14:textId="77777777"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logistika (kogumine/vedu)</w:t>
            </w:r>
          </w:p>
        </w:tc>
        <w:tc>
          <w:tcPr>
            <w:tcW w:w="384" w:type="pct"/>
            <w:shd w:val="clear" w:color="auto" w:fill="F2F2F2" w:themeFill="background1" w:themeFillShade="F2"/>
            <w:noWrap/>
            <w:hideMark/>
          </w:tcPr>
          <w:p w14:paraId="4859E1CF"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0,063</w:t>
            </w:r>
          </w:p>
        </w:tc>
        <w:tc>
          <w:tcPr>
            <w:tcW w:w="332" w:type="pct"/>
            <w:shd w:val="clear" w:color="auto" w:fill="F2F2F2" w:themeFill="background1" w:themeFillShade="F2"/>
            <w:noWrap/>
            <w:hideMark/>
          </w:tcPr>
          <w:p w14:paraId="22D398DB" w14:textId="77777777" w:rsidR="00611DB7" w:rsidRDefault="00611DB7" w:rsidP="00C41999">
            <w:pPr>
              <w:jc w:val="center"/>
              <w:rPr>
                <w:kern w:val="0"/>
                <w:szCs w:val="21"/>
                <w14:ligatures w14:val="none"/>
              </w:rPr>
            </w:pPr>
            <w:r>
              <w:rPr>
                <w:color w:val="000000"/>
                <w:sz w:val="16"/>
                <w:szCs w:val="16"/>
              </w:rPr>
              <w:t>28</w:t>
            </w:r>
          </w:p>
          <w:p w14:paraId="3B38A5C8" w14:textId="05C99E89"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73CAC7F"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0,063</w:t>
            </w:r>
          </w:p>
        </w:tc>
        <w:tc>
          <w:tcPr>
            <w:tcW w:w="332" w:type="pct"/>
            <w:shd w:val="clear" w:color="auto" w:fill="F2F2F2" w:themeFill="background1" w:themeFillShade="F2"/>
            <w:noWrap/>
            <w:hideMark/>
          </w:tcPr>
          <w:p w14:paraId="2FDC8474" w14:textId="77777777" w:rsidR="00611DB7" w:rsidRDefault="00611DB7" w:rsidP="00C41999">
            <w:pPr>
              <w:jc w:val="center"/>
              <w:rPr>
                <w:kern w:val="0"/>
                <w:szCs w:val="21"/>
                <w14:ligatures w14:val="none"/>
              </w:rPr>
            </w:pPr>
            <w:r>
              <w:rPr>
                <w:color w:val="000000"/>
                <w:sz w:val="16"/>
                <w:szCs w:val="16"/>
              </w:rPr>
              <w:t>30</w:t>
            </w:r>
          </w:p>
          <w:p w14:paraId="3DB23883" w14:textId="187DDEE4"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792ED227"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0,063</w:t>
            </w:r>
          </w:p>
        </w:tc>
        <w:tc>
          <w:tcPr>
            <w:tcW w:w="332" w:type="pct"/>
            <w:noWrap/>
            <w:hideMark/>
          </w:tcPr>
          <w:p w14:paraId="0B4EF51E" w14:textId="77777777" w:rsidR="00611DB7" w:rsidRDefault="00611DB7" w:rsidP="00C41999">
            <w:pPr>
              <w:jc w:val="center"/>
              <w:rPr>
                <w:kern w:val="0"/>
                <w:szCs w:val="21"/>
                <w14:ligatures w14:val="none"/>
              </w:rPr>
            </w:pPr>
            <w:r>
              <w:rPr>
                <w:color w:val="000000"/>
                <w:sz w:val="16"/>
                <w:szCs w:val="16"/>
              </w:rPr>
              <w:t>30</w:t>
            </w:r>
          </w:p>
          <w:p w14:paraId="144116D6" w14:textId="1E966936"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2015BC2D"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0,063</w:t>
            </w:r>
          </w:p>
        </w:tc>
        <w:tc>
          <w:tcPr>
            <w:tcW w:w="334" w:type="pct"/>
            <w:noWrap/>
            <w:hideMark/>
          </w:tcPr>
          <w:p w14:paraId="1900955A" w14:textId="77777777" w:rsidR="00611DB7" w:rsidRDefault="00611DB7" w:rsidP="00C41999">
            <w:pPr>
              <w:jc w:val="center"/>
              <w:rPr>
                <w:kern w:val="0"/>
                <w:szCs w:val="21"/>
                <w14:ligatures w14:val="none"/>
              </w:rPr>
            </w:pPr>
            <w:r>
              <w:rPr>
                <w:color w:val="000000"/>
                <w:sz w:val="16"/>
                <w:szCs w:val="16"/>
              </w:rPr>
              <w:t>31</w:t>
            </w:r>
          </w:p>
          <w:p w14:paraId="7CE0D92B" w14:textId="5C147CB2"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58F84A1E"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0,021</w:t>
            </w:r>
          </w:p>
        </w:tc>
        <w:tc>
          <w:tcPr>
            <w:tcW w:w="333" w:type="pct"/>
            <w:shd w:val="clear" w:color="auto" w:fill="F2F2F2" w:themeFill="background1" w:themeFillShade="F2"/>
            <w:noWrap/>
            <w:hideMark/>
          </w:tcPr>
          <w:p w14:paraId="5CFEA44F" w14:textId="77777777" w:rsidR="00611DB7" w:rsidRDefault="00611DB7" w:rsidP="00C41999">
            <w:pPr>
              <w:jc w:val="center"/>
              <w:rPr>
                <w:kern w:val="0"/>
                <w:szCs w:val="21"/>
                <w14:ligatures w14:val="none"/>
              </w:rPr>
            </w:pPr>
            <w:r>
              <w:rPr>
                <w:color w:val="000000"/>
                <w:sz w:val="16"/>
                <w:szCs w:val="16"/>
              </w:rPr>
              <w:t>28</w:t>
            </w:r>
          </w:p>
          <w:p w14:paraId="484058B5" w14:textId="716579CD"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67980299"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0,021</w:t>
            </w:r>
          </w:p>
        </w:tc>
        <w:tc>
          <w:tcPr>
            <w:tcW w:w="331" w:type="pct"/>
            <w:shd w:val="clear" w:color="auto" w:fill="F2F2F2" w:themeFill="background1" w:themeFillShade="F2"/>
            <w:noWrap/>
            <w:hideMark/>
          </w:tcPr>
          <w:p w14:paraId="369DB0FE" w14:textId="77777777" w:rsidR="00611DB7" w:rsidRDefault="00611DB7" w:rsidP="00C41999">
            <w:pPr>
              <w:jc w:val="center"/>
              <w:rPr>
                <w:kern w:val="0"/>
                <w:szCs w:val="21"/>
                <w14:ligatures w14:val="none"/>
              </w:rPr>
            </w:pPr>
            <w:r>
              <w:rPr>
                <w:color w:val="000000"/>
                <w:sz w:val="16"/>
                <w:szCs w:val="16"/>
              </w:rPr>
              <w:t>30</w:t>
            </w:r>
          </w:p>
          <w:p w14:paraId="4DA8A888" w14:textId="79FE94C1" w:rsidR="00285AD2" w:rsidRPr="00605961" w:rsidRDefault="00285AD2" w:rsidP="00C41999">
            <w:pPr>
              <w:jc w:val="center"/>
              <w:rPr>
                <w:rFonts w:eastAsia="Times New Roman" w:cs="Times New Roman"/>
                <w:color w:val="000000"/>
                <w:kern w:val="0"/>
                <w:sz w:val="16"/>
                <w:szCs w:val="16"/>
                <w:lang w:eastAsia="et-EE"/>
                <w14:ligatures w14:val="none"/>
              </w:rPr>
            </w:pPr>
          </w:p>
        </w:tc>
      </w:tr>
      <w:tr w:rsidR="00D60920" w:rsidRPr="00605961" w14:paraId="46C5D815" w14:textId="77777777" w:rsidTr="00611DB7">
        <w:trPr>
          <w:trHeight w:val="300"/>
        </w:trPr>
        <w:tc>
          <w:tcPr>
            <w:tcW w:w="951" w:type="pct"/>
            <w:hideMark/>
          </w:tcPr>
          <w:p w14:paraId="3DD6D199" w14:textId="77777777"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pesu (vesi, elekter/aur, pesuvahend, tööjõud, hooldus)</w:t>
            </w:r>
          </w:p>
        </w:tc>
        <w:tc>
          <w:tcPr>
            <w:tcW w:w="384" w:type="pct"/>
            <w:shd w:val="clear" w:color="auto" w:fill="F2F2F2" w:themeFill="background1" w:themeFillShade="F2"/>
            <w:noWrap/>
            <w:hideMark/>
          </w:tcPr>
          <w:p w14:paraId="7533AC8D"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0,111</w:t>
            </w:r>
          </w:p>
        </w:tc>
        <w:tc>
          <w:tcPr>
            <w:tcW w:w="332" w:type="pct"/>
            <w:shd w:val="clear" w:color="auto" w:fill="F2F2F2" w:themeFill="background1" w:themeFillShade="F2"/>
            <w:noWrap/>
            <w:hideMark/>
          </w:tcPr>
          <w:p w14:paraId="5963CD69" w14:textId="77777777" w:rsidR="00611DB7" w:rsidRDefault="00611DB7" w:rsidP="00C41999">
            <w:pPr>
              <w:jc w:val="center"/>
              <w:rPr>
                <w:kern w:val="0"/>
                <w:szCs w:val="21"/>
                <w14:ligatures w14:val="none"/>
              </w:rPr>
            </w:pPr>
            <w:r>
              <w:rPr>
                <w:color w:val="000000"/>
                <w:sz w:val="16"/>
                <w:szCs w:val="16"/>
              </w:rPr>
              <w:t>49</w:t>
            </w:r>
          </w:p>
          <w:p w14:paraId="5A6F927C" w14:textId="4189AAA2"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553833B"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0,111</w:t>
            </w:r>
          </w:p>
        </w:tc>
        <w:tc>
          <w:tcPr>
            <w:tcW w:w="332" w:type="pct"/>
            <w:shd w:val="clear" w:color="auto" w:fill="F2F2F2" w:themeFill="background1" w:themeFillShade="F2"/>
            <w:noWrap/>
            <w:hideMark/>
          </w:tcPr>
          <w:p w14:paraId="44150543" w14:textId="77777777" w:rsidR="00611DB7" w:rsidRDefault="00611DB7" w:rsidP="00C41999">
            <w:pPr>
              <w:jc w:val="center"/>
              <w:rPr>
                <w:kern w:val="0"/>
                <w:szCs w:val="21"/>
                <w14:ligatures w14:val="none"/>
              </w:rPr>
            </w:pPr>
            <w:r>
              <w:rPr>
                <w:color w:val="000000"/>
                <w:sz w:val="16"/>
                <w:szCs w:val="16"/>
              </w:rPr>
              <w:t>52</w:t>
            </w:r>
          </w:p>
          <w:p w14:paraId="6FDE1C4A" w14:textId="28CFB9BB"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36F02304"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0,111</w:t>
            </w:r>
          </w:p>
        </w:tc>
        <w:tc>
          <w:tcPr>
            <w:tcW w:w="332" w:type="pct"/>
            <w:noWrap/>
            <w:hideMark/>
          </w:tcPr>
          <w:p w14:paraId="3EFD11DB" w14:textId="77777777" w:rsidR="00611DB7" w:rsidRDefault="00611DB7" w:rsidP="00C41999">
            <w:pPr>
              <w:jc w:val="center"/>
              <w:rPr>
                <w:kern w:val="0"/>
                <w:szCs w:val="21"/>
                <w14:ligatures w14:val="none"/>
              </w:rPr>
            </w:pPr>
            <w:r>
              <w:rPr>
                <w:color w:val="000000"/>
                <w:sz w:val="16"/>
                <w:szCs w:val="16"/>
              </w:rPr>
              <w:t>53</w:t>
            </w:r>
          </w:p>
          <w:p w14:paraId="357C2C17" w14:textId="49B1A468"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77B44DD0"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0,111</w:t>
            </w:r>
          </w:p>
        </w:tc>
        <w:tc>
          <w:tcPr>
            <w:tcW w:w="334" w:type="pct"/>
            <w:noWrap/>
            <w:hideMark/>
          </w:tcPr>
          <w:p w14:paraId="20E1A673" w14:textId="77777777" w:rsidR="00611DB7" w:rsidRDefault="00611DB7" w:rsidP="00C41999">
            <w:pPr>
              <w:jc w:val="center"/>
              <w:rPr>
                <w:kern w:val="0"/>
                <w:szCs w:val="21"/>
                <w14:ligatures w14:val="none"/>
              </w:rPr>
            </w:pPr>
            <w:r>
              <w:rPr>
                <w:color w:val="000000"/>
                <w:sz w:val="16"/>
                <w:szCs w:val="16"/>
              </w:rPr>
              <w:t>54</w:t>
            </w:r>
          </w:p>
          <w:p w14:paraId="5B1A0E23" w14:textId="7BE525A2"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119D2C02"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0,019</w:t>
            </w:r>
          </w:p>
        </w:tc>
        <w:tc>
          <w:tcPr>
            <w:tcW w:w="333" w:type="pct"/>
            <w:shd w:val="clear" w:color="auto" w:fill="F2F2F2" w:themeFill="background1" w:themeFillShade="F2"/>
            <w:noWrap/>
            <w:hideMark/>
          </w:tcPr>
          <w:p w14:paraId="714E2EF3" w14:textId="77777777" w:rsidR="00611DB7" w:rsidRDefault="00611DB7" w:rsidP="00C41999">
            <w:pPr>
              <w:jc w:val="center"/>
              <w:rPr>
                <w:kern w:val="0"/>
                <w:szCs w:val="21"/>
                <w14:ligatures w14:val="none"/>
              </w:rPr>
            </w:pPr>
            <w:r>
              <w:rPr>
                <w:color w:val="000000"/>
                <w:sz w:val="16"/>
                <w:szCs w:val="16"/>
              </w:rPr>
              <w:t>25</w:t>
            </w:r>
          </w:p>
          <w:p w14:paraId="55AE13A7" w14:textId="3D75F53E"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1234E016"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0,019</w:t>
            </w:r>
          </w:p>
        </w:tc>
        <w:tc>
          <w:tcPr>
            <w:tcW w:w="331" w:type="pct"/>
            <w:shd w:val="clear" w:color="auto" w:fill="F2F2F2" w:themeFill="background1" w:themeFillShade="F2"/>
            <w:noWrap/>
            <w:hideMark/>
          </w:tcPr>
          <w:p w14:paraId="7C35140B" w14:textId="77777777" w:rsidR="00611DB7" w:rsidRDefault="00611DB7" w:rsidP="00C41999">
            <w:pPr>
              <w:jc w:val="center"/>
              <w:rPr>
                <w:kern w:val="0"/>
                <w:szCs w:val="21"/>
                <w14:ligatures w14:val="none"/>
              </w:rPr>
            </w:pPr>
            <w:r>
              <w:rPr>
                <w:color w:val="000000"/>
                <w:sz w:val="16"/>
                <w:szCs w:val="16"/>
              </w:rPr>
              <w:t>28</w:t>
            </w:r>
          </w:p>
          <w:p w14:paraId="11856D7C" w14:textId="5C27C172" w:rsidR="00285AD2" w:rsidRPr="00605961" w:rsidRDefault="00285AD2" w:rsidP="00C41999">
            <w:pPr>
              <w:jc w:val="center"/>
              <w:rPr>
                <w:rFonts w:eastAsia="Times New Roman" w:cs="Times New Roman"/>
                <w:color w:val="000000"/>
                <w:kern w:val="0"/>
                <w:sz w:val="16"/>
                <w:szCs w:val="16"/>
                <w:lang w:eastAsia="et-EE"/>
                <w14:ligatures w14:val="none"/>
              </w:rPr>
            </w:pPr>
          </w:p>
        </w:tc>
      </w:tr>
      <w:tr w:rsidR="00D60920" w:rsidRPr="00605961" w14:paraId="00BEE550" w14:textId="77777777" w:rsidTr="00611DB7">
        <w:trPr>
          <w:trHeight w:val="300"/>
        </w:trPr>
        <w:tc>
          <w:tcPr>
            <w:tcW w:w="951" w:type="pct"/>
            <w:hideMark/>
          </w:tcPr>
          <w:p w14:paraId="2EFF73A6" w14:textId="77777777"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pakendite kulumisest tingitud asenduskulu (jooksev)</w:t>
            </w:r>
          </w:p>
        </w:tc>
        <w:tc>
          <w:tcPr>
            <w:tcW w:w="384" w:type="pct"/>
            <w:shd w:val="clear" w:color="auto" w:fill="F2F2F2" w:themeFill="background1" w:themeFillShade="F2"/>
            <w:noWrap/>
            <w:hideMark/>
          </w:tcPr>
          <w:p w14:paraId="19046EDD"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0,035</w:t>
            </w:r>
          </w:p>
        </w:tc>
        <w:tc>
          <w:tcPr>
            <w:tcW w:w="332" w:type="pct"/>
            <w:shd w:val="clear" w:color="auto" w:fill="F2F2F2" w:themeFill="background1" w:themeFillShade="F2"/>
            <w:noWrap/>
            <w:hideMark/>
          </w:tcPr>
          <w:p w14:paraId="03E320F4" w14:textId="77777777" w:rsidR="00611DB7" w:rsidRDefault="00611DB7" w:rsidP="00C41999">
            <w:pPr>
              <w:jc w:val="center"/>
              <w:rPr>
                <w:kern w:val="0"/>
                <w:szCs w:val="21"/>
                <w14:ligatures w14:val="none"/>
              </w:rPr>
            </w:pPr>
            <w:r>
              <w:rPr>
                <w:color w:val="000000"/>
                <w:sz w:val="16"/>
                <w:szCs w:val="16"/>
              </w:rPr>
              <w:t>15</w:t>
            </w:r>
          </w:p>
          <w:p w14:paraId="5A1DD9AB" w14:textId="3A204AD2"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4634569A"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0,023</w:t>
            </w:r>
          </w:p>
        </w:tc>
        <w:tc>
          <w:tcPr>
            <w:tcW w:w="332" w:type="pct"/>
            <w:shd w:val="clear" w:color="auto" w:fill="F2F2F2" w:themeFill="background1" w:themeFillShade="F2"/>
            <w:noWrap/>
            <w:hideMark/>
          </w:tcPr>
          <w:p w14:paraId="2CF55E2F" w14:textId="77777777" w:rsidR="00611DB7" w:rsidRDefault="00611DB7" w:rsidP="00C41999">
            <w:pPr>
              <w:jc w:val="center"/>
              <w:rPr>
                <w:kern w:val="0"/>
                <w:szCs w:val="21"/>
                <w14:ligatures w14:val="none"/>
              </w:rPr>
            </w:pPr>
            <w:r>
              <w:rPr>
                <w:color w:val="000000"/>
                <w:sz w:val="16"/>
                <w:szCs w:val="16"/>
              </w:rPr>
              <w:t>11</w:t>
            </w:r>
          </w:p>
          <w:p w14:paraId="60EB37D9" w14:textId="7990395B"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3ACA5ADF"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0,020</w:t>
            </w:r>
          </w:p>
        </w:tc>
        <w:tc>
          <w:tcPr>
            <w:tcW w:w="332" w:type="pct"/>
            <w:noWrap/>
            <w:hideMark/>
          </w:tcPr>
          <w:p w14:paraId="7BA5DDD3" w14:textId="77777777" w:rsidR="00611DB7" w:rsidRDefault="00611DB7" w:rsidP="00C41999">
            <w:pPr>
              <w:jc w:val="center"/>
              <w:rPr>
                <w:kern w:val="0"/>
                <w:szCs w:val="21"/>
                <w14:ligatures w14:val="none"/>
              </w:rPr>
            </w:pPr>
            <w:r>
              <w:rPr>
                <w:color w:val="000000"/>
                <w:sz w:val="16"/>
                <w:szCs w:val="16"/>
              </w:rPr>
              <w:t>10</w:t>
            </w:r>
          </w:p>
          <w:p w14:paraId="000CEB17" w14:textId="2113475F"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0AA38F2D"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4" w:type="pct"/>
            <w:noWrap/>
            <w:hideMark/>
          </w:tcPr>
          <w:p w14:paraId="155B5022" w14:textId="77777777" w:rsidR="00611DB7" w:rsidRDefault="00611DB7" w:rsidP="00C41999">
            <w:pPr>
              <w:jc w:val="center"/>
              <w:rPr>
                <w:kern w:val="0"/>
                <w:szCs w:val="21"/>
                <w14:ligatures w14:val="none"/>
              </w:rPr>
            </w:pPr>
            <w:r>
              <w:rPr>
                <w:color w:val="000000"/>
                <w:sz w:val="16"/>
                <w:szCs w:val="16"/>
              </w:rPr>
              <w:t>7</w:t>
            </w:r>
          </w:p>
          <w:p w14:paraId="3FB85F35" w14:textId="231FC87E"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1F293BAE"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0,020</w:t>
            </w:r>
          </w:p>
        </w:tc>
        <w:tc>
          <w:tcPr>
            <w:tcW w:w="333" w:type="pct"/>
            <w:shd w:val="clear" w:color="auto" w:fill="F2F2F2" w:themeFill="background1" w:themeFillShade="F2"/>
            <w:noWrap/>
            <w:hideMark/>
          </w:tcPr>
          <w:p w14:paraId="1E50731A" w14:textId="77777777" w:rsidR="00611DB7" w:rsidRDefault="00611DB7" w:rsidP="00C41999">
            <w:pPr>
              <w:jc w:val="center"/>
              <w:rPr>
                <w:kern w:val="0"/>
                <w:szCs w:val="21"/>
                <w14:ligatures w14:val="none"/>
              </w:rPr>
            </w:pPr>
            <w:r>
              <w:rPr>
                <w:color w:val="000000"/>
                <w:sz w:val="16"/>
                <w:szCs w:val="16"/>
              </w:rPr>
              <w:t>26</w:t>
            </w:r>
          </w:p>
          <w:p w14:paraId="0BE35828" w14:textId="7E65B151"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2BB9B71F"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0,013</w:t>
            </w:r>
          </w:p>
        </w:tc>
        <w:tc>
          <w:tcPr>
            <w:tcW w:w="331" w:type="pct"/>
            <w:shd w:val="clear" w:color="auto" w:fill="F2F2F2" w:themeFill="background1" w:themeFillShade="F2"/>
            <w:noWrap/>
            <w:hideMark/>
          </w:tcPr>
          <w:p w14:paraId="1C9F8917" w14:textId="77777777" w:rsidR="00611DB7" w:rsidRDefault="00611DB7" w:rsidP="00C41999">
            <w:pPr>
              <w:jc w:val="center"/>
              <w:rPr>
                <w:kern w:val="0"/>
                <w:szCs w:val="21"/>
                <w14:ligatures w14:val="none"/>
              </w:rPr>
            </w:pPr>
            <w:r>
              <w:rPr>
                <w:color w:val="000000"/>
                <w:sz w:val="16"/>
                <w:szCs w:val="16"/>
              </w:rPr>
              <w:t>19</w:t>
            </w:r>
          </w:p>
          <w:p w14:paraId="0EB2E9C5" w14:textId="213F835F" w:rsidR="00285AD2" w:rsidRPr="00605961" w:rsidRDefault="00285AD2" w:rsidP="00C41999">
            <w:pPr>
              <w:jc w:val="center"/>
              <w:rPr>
                <w:rFonts w:eastAsia="Times New Roman" w:cs="Times New Roman"/>
                <w:color w:val="000000"/>
                <w:kern w:val="0"/>
                <w:sz w:val="16"/>
                <w:szCs w:val="16"/>
                <w:lang w:eastAsia="et-EE"/>
                <w14:ligatures w14:val="none"/>
              </w:rPr>
            </w:pPr>
          </w:p>
        </w:tc>
      </w:tr>
      <w:tr w:rsidR="00D60920" w:rsidRPr="00605961" w14:paraId="1467B784" w14:textId="77777777" w:rsidTr="00611DB7">
        <w:trPr>
          <w:trHeight w:val="300"/>
        </w:trPr>
        <w:tc>
          <w:tcPr>
            <w:tcW w:w="951" w:type="pct"/>
            <w:hideMark/>
          </w:tcPr>
          <w:p w14:paraId="366FF120" w14:textId="77777777"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kadu/purunemine asendus</w:t>
            </w:r>
          </w:p>
        </w:tc>
        <w:tc>
          <w:tcPr>
            <w:tcW w:w="384" w:type="pct"/>
            <w:shd w:val="clear" w:color="auto" w:fill="F2F2F2" w:themeFill="background1" w:themeFillShade="F2"/>
            <w:noWrap/>
            <w:hideMark/>
          </w:tcPr>
          <w:p w14:paraId="7F8221E7"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shd w:val="clear" w:color="auto" w:fill="F2F2F2" w:themeFill="background1" w:themeFillShade="F2"/>
            <w:noWrap/>
            <w:hideMark/>
          </w:tcPr>
          <w:p w14:paraId="5B8E1B26" w14:textId="77777777" w:rsidR="00611DB7" w:rsidRDefault="00611DB7" w:rsidP="00C41999">
            <w:pPr>
              <w:jc w:val="center"/>
              <w:rPr>
                <w:kern w:val="0"/>
                <w:szCs w:val="21"/>
                <w14:ligatures w14:val="none"/>
              </w:rPr>
            </w:pPr>
            <w:r>
              <w:rPr>
                <w:color w:val="000000"/>
                <w:sz w:val="16"/>
                <w:szCs w:val="16"/>
              </w:rPr>
              <w:t>2</w:t>
            </w:r>
          </w:p>
          <w:p w14:paraId="3E5B98F3" w14:textId="4D193835"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5B0769D5"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shd w:val="clear" w:color="auto" w:fill="F2F2F2" w:themeFill="background1" w:themeFillShade="F2"/>
            <w:noWrap/>
            <w:hideMark/>
          </w:tcPr>
          <w:p w14:paraId="69894661" w14:textId="77777777" w:rsidR="00611DB7" w:rsidRDefault="00611DB7" w:rsidP="00C41999">
            <w:pPr>
              <w:jc w:val="center"/>
              <w:rPr>
                <w:kern w:val="0"/>
                <w:szCs w:val="21"/>
                <w14:ligatures w14:val="none"/>
              </w:rPr>
            </w:pPr>
            <w:r>
              <w:rPr>
                <w:color w:val="000000"/>
                <w:sz w:val="16"/>
                <w:szCs w:val="16"/>
              </w:rPr>
              <w:t>2</w:t>
            </w:r>
          </w:p>
          <w:p w14:paraId="4673FC20" w14:textId="45D0779B"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6A9C391B"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2" w:type="pct"/>
            <w:noWrap/>
            <w:hideMark/>
          </w:tcPr>
          <w:p w14:paraId="353CD7BE" w14:textId="77777777" w:rsidR="00611DB7" w:rsidRDefault="00611DB7" w:rsidP="00C41999">
            <w:pPr>
              <w:jc w:val="center"/>
              <w:rPr>
                <w:kern w:val="0"/>
                <w:szCs w:val="21"/>
                <w14:ligatures w14:val="none"/>
              </w:rPr>
            </w:pPr>
            <w:r>
              <w:rPr>
                <w:color w:val="000000"/>
                <w:sz w:val="16"/>
                <w:szCs w:val="16"/>
              </w:rPr>
              <w:t>2</w:t>
            </w:r>
          </w:p>
          <w:p w14:paraId="0647A6B7" w14:textId="55E7B5F8"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05D36F29"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4" w:type="pct"/>
            <w:noWrap/>
            <w:hideMark/>
          </w:tcPr>
          <w:p w14:paraId="099531BA" w14:textId="77777777" w:rsidR="00611DB7" w:rsidRDefault="00611DB7" w:rsidP="00C41999">
            <w:pPr>
              <w:jc w:val="center"/>
              <w:rPr>
                <w:kern w:val="0"/>
                <w:szCs w:val="21"/>
                <w14:ligatures w14:val="none"/>
              </w:rPr>
            </w:pPr>
            <w:r>
              <w:rPr>
                <w:color w:val="000000"/>
                <w:sz w:val="16"/>
                <w:szCs w:val="16"/>
              </w:rPr>
              <w:t>2</w:t>
            </w:r>
          </w:p>
          <w:p w14:paraId="1B5C1F9C" w14:textId="350B324B"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835617D"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3" w:type="pct"/>
            <w:shd w:val="clear" w:color="auto" w:fill="F2F2F2" w:themeFill="background1" w:themeFillShade="F2"/>
            <w:noWrap/>
            <w:hideMark/>
          </w:tcPr>
          <w:p w14:paraId="392A8ACC" w14:textId="77777777" w:rsidR="00611DB7" w:rsidRDefault="00611DB7" w:rsidP="00C41999">
            <w:pPr>
              <w:jc w:val="center"/>
              <w:rPr>
                <w:kern w:val="0"/>
                <w:szCs w:val="21"/>
                <w14:ligatures w14:val="none"/>
              </w:rPr>
            </w:pPr>
            <w:r>
              <w:rPr>
                <w:color w:val="000000"/>
                <w:sz w:val="16"/>
                <w:szCs w:val="16"/>
              </w:rPr>
              <w:t>6</w:t>
            </w:r>
          </w:p>
          <w:p w14:paraId="72E9CCA0" w14:textId="596CACB5"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E5C1CA0"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0,005</w:t>
            </w:r>
          </w:p>
        </w:tc>
        <w:tc>
          <w:tcPr>
            <w:tcW w:w="331" w:type="pct"/>
            <w:shd w:val="clear" w:color="auto" w:fill="F2F2F2" w:themeFill="background1" w:themeFillShade="F2"/>
            <w:noWrap/>
            <w:hideMark/>
          </w:tcPr>
          <w:p w14:paraId="3E6F1783" w14:textId="77777777" w:rsidR="00611DB7" w:rsidRDefault="00611DB7" w:rsidP="00C41999">
            <w:pPr>
              <w:jc w:val="center"/>
              <w:rPr>
                <w:kern w:val="0"/>
                <w:szCs w:val="21"/>
                <w14:ligatures w14:val="none"/>
              </w:rPr>
            </w:pPr>
            <w:r>
              <w:rPr>
                <w:color w:val="000000"/>
                <w:sz w:val="16"/>
                <w:szCs w:val="16"/>
              </w:rPr>
              <w:t>7</w:t>
            </w:r>
          </w:p>
          <w:p w14:paraId="7EC2DB65" w14:textId="52FC91B8" w:rsidR="00285AD2" w:rsidRPr="00605961" w:rsidRDefault="00285AD2" w:rsidP="00C41999">
            <w:pPr>
              <w:jc w:val="center"/>
              <w:rPr>
                <w:rFonts w:eastAsia="Times New Roman" w:cs="Times New Roman"/>
                <w:color w:val="000000"/>
                <w:kern w:val="0"/>
                <w:sz w:val="16"/>
                <w:szCs w:val="16"/>
                <w:lang w:eastAsia="et-EE"/>
                <w14:ligatures w14:val="none"/>
              </w:rPr>
            </w:pPr>
          </w:p>
        </w:tc>
      </w:tr>
      <w:tr w:rsidR="00D60920" w:rsidRPr="00605961" w14:paraId="17D6D962" w14:textId="77777777" w:rsidTr="00611DB7">
        <w:trPr>
          <w:trHeight w:val="300"/>
        </w:trPr>
        <w:tc>
          <w:tcPr>
            <w:tcW w:w="951" w:type="pct"/>
            <w:hideMark/>
          </w:tcPr>
          <w:p w14:paraId="69F80650" w14:textId="77777777"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jäätmed (korduskasutus)</w:t>
            </w:r>
          </w:p>
        </w:tc>
        <w:tc>
          <w:tcPr>
            <w:tcW w:w="384" w:type="pct"/>
            <w:shd w:val="clear" w:color="auto" w:fill="F2F2F2" w:themeFill="background1" w:themeFillShade="F2"/>
            <w:noWrap/>
            <w:hideMark/>
          </w:tcPr>
          <w:p w14:paraId="6B171037"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0,001</w:t>
            </w:r>
          </w:p>
        </w:tc>
        <w:tc>
          <w:tcPr>
            <w:tcW w:w="332" w:type="pct"/>
            <w:shd w:val="clear" w:color="auto" w:fill="F2F2F2" w:themeFill="background1" w:themeFillShade="F2"/>
            <w:noWrap/>
            <w:hideMark/>
          </w:tcPr>
          <w:p w14:paraId="11FDF038" w14:textId="77777777" w:rsidR="00611DB7" w:rsidRDefault="00611DB7" w:rsidP="00C41999">
            <w:pPr>
              <w:jc w:val="center"/>
              <w:rPr>
                <w:kern w:val="0"/>
                <w:szCs w:val="21"/>
                <w14:ligatures w14:val="none"/>
              </w:rPr>
            </w:pPr>
            <w:r>
              <w:rPr>
                <w:color w:val="000000"/>
                <w:sz w:val="16"/>
                <w:szCs w:val="16"/>
              </w:rPr>
              <w:t>0,3</w:t>
            </w:r>
          </w:p>
          <w:p w14:paraId="6ED5F00F" w14:textId="0E0FDF80"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206766D0" w14:textId="6054C380"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w:t>
            </w:r>
            <w:r w:rsidR="00605961">
              <w:rPr>
                <w:rFonts w:eastAsia="Times New Roman" w:cs="Times New Roman"/>
                <w:color w:val="000000"/>
                <w:kern w:val="0"/>
                <w:sz w:val="16"/>
                <w:szCs w:val="16"/>
                <w:lang w:eastAsia="et-EE"/>
                <w14:ligatures w14:val="none"/>
              </w:rPr>
              <w:t>1</w:t>
            </w:r>
          </w:p>
        </w:tc>
        <w:tc>
          <w:tcPr>
            <w:tcW w:w="332" w:type="pct"/>
            <w:shd w:val="clear" w:color="auto" w:fill="F2F2F2" w:themeFill="background1" w:themeFillShade="F2"/>
            <w:noWrap/>
            <w:hideMark/>
          </w:tcPr>
          <w:p w14:paraId="32C0A008" w14:textId="77777777" w:rsidR="00611DB7" w:rsidRDefault="00611DB7" w:rsidP="00C41999">
            <w:pPr>
              <w:jc w:val="center"/>
              <w:rPr>
                <w:kern w:val="0"/>
                <w:szCs w:val="21"/>
                <w14:ligatures w14:val="none"/>
              </w:rPr>
            </w:pPr>
            <w:r>
              <w:rPr>
                <w:color w:val="000000"/>
                <w:sz w:val="16"/>
                <w:szCs w:val="16"/>
              </w:rPr>
              <w:t>0,2</w:t>
            </w:r>
          </w:p>
          <w:p w14:paraId="39DFFAAD" w14:textId="6DFA3498"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60A092C4"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0,001</w:t>
            </w:r>
          </w:p>
        </w:tc>
        <w:tc>
          <w:tcPr>
            <w:tcW w:w="332" w:type="pct"/>
            <w:noWrap/>
            <w:hideMark/>
          </w:tcPr>
          <w:p w14:paraId="524EE1DC" w14:textId="77777777" w:rsidR="00611DB7" w:rsidRDefault="00611DB7" w:rsidP="00C41999">
            <w:pPr>
              <w:jc w:val="center"/>
              <w:rPr>
                <w:kern w:val="0"/>
                <w:szCs w:val="21"/>
                <w14:ligatures w14:val="none"/>
              </w:rPr>
            </w:pPr>
            <w:r>
              <w:rPr>
                <w:color w:val="000000"/>
                <w:sz w:val="16"/>
                <w:szCs w:val="16"/>
              </w:rPr>
              <w:t>0</w:t>
            </w:r>
          </w:p>
          <w:p w14:paraId="0B2B53D4" w14:textId="778C0954"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183BB1B4"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0,000</w:t>
            </w:r>
          </w:p>
        </w:tc>
        <w:tc>
          <w:tcPr>
            <w:tcW w:w="334" w:type="pct"/>
            <w:noWrap/>
            <w:hideMark/>
          </w:tcPr>
          <w:p w14:paraId="656B732B" w14:textId="77777777" w:rsidR="00611DB7" w:rsidRDefault="00611DB7" w:rsidP="00C41999">
            <w:pPr>
              <w:jc w:val="center"/>
              <w:rPr>
                <w:kern w:val="0"/>
                <w:szCs w:val="21"/>
                <w14:ligatures w14:val="none"/>
              </w:rPr>
            </w:pPr>
            <w:r>
              <w:rPr>
                <w:sz w:val="16"/>
                <w:szCs w:val="16"/>
              </w:rPr>
              <w:t>0,2</w:t>
            </w:r>
          </w:p>
          <w:p w14:paraId="451CF705" w14:textId="56A079BF"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33D503D" w14:textId="63AD6E4E"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w:t>
            </w:r>
            <w:r w:rsidR="00605961" w:rsidRPr="00605961">
              <w:rPr>
                <w:rFonts w:eastAsia="Times New Roman" w:cs="Times New Roman"/>
                <w:color w:val="000000"/>
                <w:kern w:val="0"/>
                <w:sz w:val="16"/>
                <w:szCs w:val="16"/>
                <w:lang w:eastAsia="et-EE"/>
                <w14:ligatures w14:val="none"/>
              </w:rPr>
              <w:t>1</w:t>
            </w:r>
          </w:p>
        </w:tc>
        <w:tc>
          <w:tcPr>
            <w:tcW w:w="333" w:type="pct"/>
            <w:shd w:val="clear" w:color="auto" w:fill="F2F2F2" w:themeFill="background1" w:themeFillShade="F2"/>
            <w:noWrap/>
            <w:hideMark/>
          </w:tcPr>
          <w:p w14:paraId="166B3208" w14:textId="77777777" w:rsidR="00611DB7" w:rsidRDefault="00611DB7" w:rsidP="00C41999">
            <w:pPr>
              <w:jc w:val="center"/>
              <w:rPr>
                <w:kern w:val="0"/>
                <w:szCs w:val="21"/>
                <w14:ligatures w14:val="none"/>
              </w:rPr>
            </w:pPr>
            <w:r>
              <w:rPr>
                <w:color w:val="000000"/>
                <w:sz w:val="16"/>
                <w:szCs w:val="16"/>
              </w:rPr>
              <w:t>1</w:t>
            </w:r>
          </w:p>
          <w:p w14:paraId="623BEA55" w14:textId="0A4F11D1"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2F99A53C"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0,000</w:t>
            </w:r>
          </w:p>
        </w:tc>
        <w:tc>
          <w:tcPr>
            <w:tcW w:w="331" w:type="pct"/>
            <w:shd w:val="clear" w:color="auto" w:fill="F2F2F2" w:themeFill="background1" w:themeFillShade="F2"/>
            <w:noWrap/>
            <w:hideMark/>
          </w:tcPr>
          <w:p w14:paraId="4C5D5499" w14:textId="77777777" w:rsidR="00C41999" w:rsidRDefault="00C41999" w:rsidP="00C41999">
            <w:pPr>
              <w:jc w:val="center"/>
              <w:rPr>
                <w:kern w:val="0"/>
                <w:szCs w:val="21"/>
                <w14:ligatures w14:val="none"/>
              </w:rPr>
            </w:pPr>
            <w:r>
              <w:rPr>
                <w:color w:val="000000"/>
                <w:sz w:val="16"/>
                <w:szCs w:val="16"/>
              </w:rPr>
              <w:t>1</w:t>
            </w:r>
          </w:p>
          <w:p w14:paraId="3464BDEC" w14:textId="426F8C12" w:rsidR="00285AD2" w:rsidRPr="00605961" w:rsidRDefault="00285AD2" w:rsidP="00C41999">
            <w:pPr>
              <w:jc w:val="center"/>
              <w:rPr>
                <w:rFonts w:eastAsia="Times New Roman" w:cs="Times New Roman"/>
                <w:color w:val="000000"/>
                <w:kern w:val="0"/>
                <w:sz w:val="16"/>
                <w:szCs w:val="16"/>
                <w:lang w:eastAsia="et-EE"/>
                <w14:ligatures w14:val="none"/>
              </w:rPr>
            </w:pPr>
          </w:p>
        </w:tc>
      </w:tr>
      <w:tr w:rsidR="00D60920" w:rsidRPr="00605961" w14:paraId="67E9F468" w14:textId="77777777" w:rsidTr="00611DB7">
        <w:trPr>
          <w:trHeight w:val="300"/>
        </w:trPr>
        <w:tc>
          <w:tcPr>
            <w:tcW w:w="951" w:type="pct"/>
            <w:hideMark/>
          </w:tcPr>
          <w:p w14:paraId="285E457E" w14:textId="3537F92F" w:rsidR="00285AD2" w:rsidRPr="00605961" w:rsidRDefault="00285AD2" w:rsidP="00285AD2">
            <w:pPr>
              <w:jc w:val="left"/>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III muud kulud (turundus, koolitus, haldus)</w:t>
            </w:r>
          </w:p>
        </w:tc>
        <w:tc>
          <w:tcPr>
            <w:tcW w:w="384" w:type="pct"/>
            <w:shd w:val="clear" w:color="auto" w:fill="F2F2F2" w:themeFill="background1" w:themeFillShade="F2"/>
            <w:noWrap/>
            <w:hideMark/>
          </w:tcPr>
          <w:p w14:paraId="439CB1CA"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2" w:type="pct"/>
            <w:shd w:val="clear" w:color="auto" w:fill="F2F2F2" w:themeFill="background1" w:themeFillShade="F2"/>
            <w:noWrap/>
            <w:hideMark/>
          </w:tcPr>
          <w:p w14:paraId="542B796F" w14:textId="77777777" w:rsidR="00C41999" w:rsidRDefault="00C41999" w:rsidP="00C41999">
            <w:pPr>
              <w:jc w:val="center"/>
              <w:rPr>
                <w:kern w:val="0"/>
                <w:szCs w:val="21"/>
                <w14:ligatures w14:val="none"/>
              </w:rPr>
            </w:pPr>
            <w:r>
              <w:rPr>
                <w:color w:val="000000"/>
                <w:sz w:val="16"/>
                <w:szCs w:val="16"/>
              </w:rPr>
              <w:t>5</w:t>
            </w:r>
          </w:p>
          <w:p w14:paraId="6D5D6301" w14:textId="69ED6AEA"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32AC0849"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2" w:type="pct"/>
            <w:shd w:val="clear" w:color="auto" w:fill="F2F2F2" w:themeFill="background1" w:themeFillShade="F2"/>
            <w:noWrap/>
            <w:hideMark/>
          </w:tcPr>
          <w:p w14:paraId="4DC6F773" w14:textId="77777777" w:rsidR="00C41999" w:rsidRDefault="00C41999" w:rsidP="00C41999">
            <w:pPr>
              <w:jc w:val="center"/>
              <w:rPr>
                <w:kern w:val="0"/>
                <w:szCs w:val="21"/>
                <w14:ligatures w14:val="none"/>
              </w:rPr>
            </w:pPr>
            <w:r>
              <w:rPr>
                <w:color w:val="000000"/>
                <w:sz w:val="16"/>
                <w:szCs w:val="16"/>
              </w:rPr>
              <w:t>5</w:t>
            </w:r>
          </w:p>
          <w:p w14:paraId="0CC6BA28" w14:textId="1C002CE4"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3EE037A5"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2" w:type="pct"/>
            <w:noWrap/>
            <w:hideMark/>
          </w:tcPr>
          <w:p w14:paraId="53980542" w14:textId="77777777" w:rsidR="00C41999" w:rsidRDefault="00C41999" w:rsidP="00C41999">
            <w:pPr>
              <w:jc w:val="center"/>
              <w:rPr>
                <w:kern w:val="0"/>
                <w:szCs w:val="21"/>
                <w14:ligatures w14:val="none"/>
              </w:rPr>
            </w:pPr>
            <w:r>
              <w:rPr>
                <w:color w:val="000000"/>
                <w:sz w:val="16"/>
                <w:szCs w:val="16"/>
              </w:rPr>
              <w:t>5</w:t>
            </w:r>
          </w:p>
          <w:p w14:paraId="3AC387BD" w14:textId="664A8332"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noWrap/>
            <w:hideMark/>
          </w:tcPr>
          <w:p w14:paraId="7A3B2C7B"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4" w:type="pct"/>
            <w:noWrap/>
            <w:hideMark/>
          </w:tcPr>
          <w:p w14:paraId="6731E790" w14:textId="77777777" w:rsidR="00C41999" w:rsidRDefault="00C41999" w:rsidP="00C41999">
            <w:pPr>
              <w:jc w:val="center"/>
              <w:rPr>
                <w:kern w:val="0"/>
                <w:szCs w:val="21"/>
                <w14:ligatures w14:val="none"/>
              </w:rPr>
            </w:pPr>
            <w:r>
              <w:rPr>
                <w:color w:val="000000"/>
                <w:sz w:val="16"/>
                <w:szCs w:val="16"/>
              </w:rPr>
              <w:t>5</w:t>
            </w:r>
          </w:p>
          <w:p w14:paraId="4B266E2F" w14:textId="5CDEB77C"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1C5DD286"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3" w:type="pct"/>
            <w:shd w:val="clear" w:color="auto" w:fill="F2F2F2" w:themeFill="background1" w:themeFillShade="F2"/>
            <w:noWrap/>
            <w:hideMark/>
          </w:tcPr>
          <w:p w14:paraId="1E58F936" w14:textId="77777777" w:rsidR="00C41999" w:rsidRDefault="00C41999" w:rsidP="00C41999">
            <w:pPr>
              <w:jc w:val="center"/>
              <w:rPr>
                <w:kern w:val="0"/>
                <w:szCs w:val="21"/>
                <w14:ligatures w14:val="none"/>
              </w:rPr>
            </w:pPr>
            <w:r>
              <w:rPr>
                <w:color w:val="000000"/>
                <w:sz w:val="16"/>
                <w:szCs w:val="16"/>
              </w:rPr>
              <w:t>14</w:t>
            </w:r>
          </w:p>
          <w:p w14:paraId="5662232A" w14:textId="57D4EB6F" w:rsidR="00285AD2" w:rsidRPr="00605961" w:rsidRDefault="00285AD2" w:rsidP="00C41999">
            <w:pPr>
              <w:jc w:val="center"/>
              <w:rPr>
                <w:rFonts w:eastAsia="Times New Roman" w:cs="Times New Roman"/>
                <w:color w:val="000000"/>
                <w:kern w:val="0"/>
                <w:sz w:val="16"/>
                <w:szCs w:val="16"/>
                <w:lang w:eastAsia="et-EE"/>
                <w14:ligatures w14:val="none"/>
              </w:rPr>
            </w:pPr>
          </w:p>
        </w:tc>
        <w:tc>
          <w:tcPr>
            <w:tcW w:w="334" w:type="pct"/>
            <w:shd w:val="clear" w:color="auto" w:fill="F2F2F2" w:themeFill="background1" w:themeFillShade="F2"/>
            <w:noWrap/>
            <w:hideMark/>
          </w:tcPr>
          <w:p w14:paraId="0DEBDCD9" w14:textId="77777777"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0,011</w:t>
            </w:r>
          </w:p>
        </w:tc>
        <w:tc>
          <w:tcPr>
            <w:tcW w:w="331" w:type="pct"/>
            <w:shd w:val="clear" w:color="auto" w:fill="F2F2F2" w:themeFill="background1" w:themeFillShade="F2"/>
            <w:noWrap/>
            <w:hideMark/>
          </w:tcPr>
          <w:p w14:paraId="429EBFD4" w14:textId="77777777" w:rsidR="00C41999" w:rsidRDefault="00C41999" w:rsidP="00C41999">
            <w:pPr>
              <w:jc w:val="center"/>
              <w:rPr>
                <w:kern w:val="0"/>
                <w:szCs w:val="21"/>
                <w14:ligatures w14:val="none"/>
              </w:rPr>
            </w:pPr>
            <w:r>
              <w:rPr>
                <w:color w:val="000000"/>
                <w:sz w:val="16"/>
                <w:szCs w:val="16"/>
              </w:rPr>
              <w:t>15</w:t>
            </w:r>
          </w:p>
          <w:p w14:paraId="2C843B76" w14:textId="50B1733D" w:rsidR="00285AD2" w:rsidRPr="00605961" w:rsidRDefault="00285AD2" w:rsidP="00C41999">
            <w:pPr>
              <w:jc w:val="center"/>
              <w:rPr>
                <w:rFonts w:eastAsia="Times New Roman" w:cs="Times New Roman"/>
                <w:color w:val="000000"/>
                <w:kern w:val="0"/>
                <w:sz w:val="16"/>
                <w:szCs w:val="16"/>
                <w:lang w:eastAsia="et-EE"/>
                <w14:ligatures w14:val="none"/>
              </w:rPr>
            </w:pPr>
          </w:p>
        </w:tc>
      </w:tr>
      <w:tr w:rsidR="00F944CD" w:rsidRPr="00605961" w14:paraId="525991F0" w14:textId="77777777" w:rsidTr="00611DB7">
        <w:trPr>
          <w:trHeight w:val="300"/>
        </w:trPr>
        <w:tc>
          <w:tcPr>
            <w:tcW w:w="951" w:type="pct"/>
            <w:shd w:val="clear" w:color="auto" w:fill="0070C0"/>
            <w:hideMark/>
          </w:tcPr>
          <w:p w14:paraId="1552321E" w14:textId="30E784A7" w:rsidR="00285AD2" w:rsidRPr="00605961" w:rsidRDefault="00285AD2" w:rsidP="00285AD2">
            <w:pPr>
              <w:jc w:val="left"/>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III OPEX KOKKU</w:t>
            </w:r>
          </w:p>
        </w:tc>
        <w:tc>
          <w:tcPr>
            <w:tcW w:w="384" w:type="pct"/>
            <w:shd w:val="clear" w:color="auto" w:fill="0070C0"/>
            <w:noWrap/>
            <w:hideMark/>
          </w:tcPr>
          <w:p w14:paraId="0D5977CD"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0,225</w:t>
            </w:r>
          </w:p>
        </w:tc>
        <w:tc>
          <w:tcPr>
            <w:tcW w:w="332" w:type="pct"/>
            <w:shd w:val="clear" w:color="auto" w:fill="0070C0"/>
            <w:noWrap/>
            <w:hideMark/>
          </w:tcPr>
          <w:p w14:paraId="506C80B5" w14:textId="77777777" w:rsidR="00C41999" w:rsidRDefault="00C41999" w:rsidP="00C41999">
            <w:pPr>
              <w:jc w:val="center"/>
              <w:rPr>
                <w:kern w:val="0"/>
                <w:szCs w:val="21"/>
                <w14:ligatures w14:val="none"/>
              </w:rPr>
            </w:pPr>
            <w:r>
              <w:rPr>
                <w:b/>
                <w:bCs/>
                <w:color w:val="FFFFFF"/>
                <w:sz w:val="16"/>
                <w:szCs w:val="16"/>
              </w:rPr>
              <w:t>100</w:t>
            </w:r>
          </w:p>
          <w:p w14:paraId="3C55B137" w14:textId="0C847440"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3E7C583B"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0,213</w:t>
            </w:r>
          </w:p>
        </w:tc>
        <w:tc>
          <w:tcPr>
            <w:tcW w:w="332" w:type="pct"/>
            <w:shd w:val="clear" w:color="auto" w:fill="0070C0"/>
            <w:noWrap/>
            <w:hideMark/>
          </w:tcPr>
          <w:p w14:paraId="761A6003" w14:textId="77777777" w:rsidR="00C41999" w:rsidRDefault="00C41999" w:rsidP="00C41999">
            <w:pPr>
              <w:jc w:val="center"/>
              <w:rPr>
                <w:kern w:val="0"/>
                <w:szCs w:val="21"/>
                <w14:ligatures w14:val="none"/>
              </w:rPr>
            </w:pPr>
            <w:r>
              <w:rPr>
                <w:b/>
                <w:bCs/>
                <w:color w:val="FFFFFF"/>
                <w:sz w:val="16"/>
                <w:szCs w:val="16"/>
              </w:rPr>
              <w:t>100</w:t>
            </w:r>
          </w:p>
          <w:p w14:paraId="4351B3B0" w14:textId="0964ABAA"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30674220" w14:textId="7CC27299"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0,21</w:t>
            </w:r>
            <w:r w:rsidR="00F944CD" w:rsidRPr="00605961">
              <w:rPr>
                <w:rFonts w:eastAsia="Times New Roman" w:cs="Times New Roman"/>
                <w:b/>
                <w:bCs/>
                <w:color w:val="FFFFFF" w:themeColor="background1"/>
                <w:kern w:val="0"/>
                <w:sz w:val="16"/>
                <w:szCs w:val="16"/>
                <w:lang w:eastAsia="et-EE"/>
                <w14:ligatures w14:val="none"/>
              </w:rPr>
              <w:t>1</w:t>
            </w:r>
          </w:p>
        </w:tc>
        <w:tc>
          <w:tcPr>
            <w:tcW w:w="332" w:type="pct"/>
            <w:shd w:val="clear" w:color="auto" w:fill="0070C0"/>
            <w:noWrap/>
            <w:hideMark/>
          </w:tcPr>
          <w:p w14:paraId="48B63ED8" w14:textId="77777777" w:rsidR="00C41999" w:rsidRDefault="00C41999" w:rsidP="00C41999">
            <w:pPr>
              <w:jc w:val="center"/>
              <w:rPr>
                <w:kern w:val="0"/>
                <w:szCs w:val="21"/>
                <w14:ligatures w14:val="none"/>
              </w:rPr>
            </w:pPr>
            <w:r>
              <w:rPr>
                <w:b/>
                <w:bCs/>
                <w:color w:val="FFFFFF"/>
                <w:sz w:val="16"/>
                <w:szCs w:val="16"/>
              </w:rPr>
              <w:t>100</w:t>
            </w:r>
          </w:p>
          <w:p w14:paraId="0460A1A4" w14:textId="691794D9"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0A25C628"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0,204</w:t>
            </w:r>
          </w:p>
        </w:tc>
        <w:tc>
          <w:tcPr>
            <w:tcW w:w="334" w:type="pct"/>
            <w:shd w:val="clear" w:color="auto" w:fill="0070C0"/>
            <w:noWrap/>
            <w:hideMark/>
          </w:tcPr>
          <w:p w14:paraId="336DC659" w14:textId="77777777" w:rsidR="00C41999" w:rsidRDefault="00C41999" w:rsidP="00C41999">
            <w:pPr>
              <w:jc w:val="center"/>
              <w:rPr>
                <w:kern w:val="0"/>
                <w:szCs w:val="21"/>
                <w14:ligatures w14:val="none"/>
              </w:rPr>
            </w:pPr>
            <w:r>
              <w:rPr>
                <w:b/>
                <w:bCs/>
                <w:color w:val="FFFFFF"/>
                <w:sz w:val="16"/>
                <w:szCs w:val="16"/>
              </w:rPr>
              <w:t>100</w:t>
            </w:r>
          </w:p>
          <w:p w14:paraId="662F9B22" w14:textId="4B6D193B"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4B5F66CE"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0,077</w:t>
            </w:r>
          </w:p>
        </w:tc>
        <w:tc>
          <w:tcPr>
            <w:tcW w:w="333" w:type="pct"/>
            <w:shd w:val="clear" w:color="auto" w:fill="0070C0"/>
            <w:noWrap/>
            <w:hideMark/>
          </w:tcPr>
          <w:p w14:paraId="0ED55C76" w14:textId="77777777" w:rsidR="00C41999" w:rsidRDefault="00C41999" w:rsidP="00C41999">
            <w:pPr>
              <w:jc w:val="center"/>
              <w:rPr>
                <w:kern w:val="0"/>
                <w:szCs w:val="21"/>
                <w14:ligatures w14:val="none"/>
              </w:rPr>
            </w:pPr>
            <w:r>
              <w:rPr>
                <w:b/>
                <w:bCs/>
                <w:color w:val="FFFFFF"/>
                <w:sz w:val="16"/>
                <w:szCs w:val="16"/>
              </w:rPr>
              <w:t>100</w:t>
            </w:r>
          </w:p>
          <w:p w14:paraId="25F7C58E" w14:textId="00B08470"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hideMark/>
          </w:tcPr>
          <w:p w14:paraId="2D628E76" w14:textId="77777777"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0,070</w:t>
            </w:r>
          </w:p>
        </w:tc>
        <w:tc>
          <w:tcPr>
            <w:tcW w:w="331" w:type="pct"/>
            <w:shd w:val="clear" w:color="auto" w:fill="0070C0"/>
            <w:noWrap/>
            <w:hideMark/>
          </w:tcPr>
          <w:p w14:paraId="1EC8B631" w14:textId="77777777" w:rsidR="00C41999" w:rsidRDefault="00C41999" w:rsidP="00C41999">
            <w:pPr>
              <w:jc w:val="center"/>
              <w:rPr>
                <w:kern w:val="0"/>
                <w:szCs w:val="21"/>
                <w14:ligatures w14:val="none"/>
              </w:rPr>
            </w:pPr>
            <w:r>
              <w:rPr>
                <w:b/>
                <w:bCs/>
                <w:color w:val="FFFFFF"/>
                <w:sz w:val="16"/>
                <w:szCs w:val="16"/>
              </w:rPr>
              <w:t>100</w:t>
            </w:r>
          </w:p>
          <w:p w14:paraId="39000F59" w14:textId="6F154A1A" w:rsidR="00285AD2" w:rsidRPr="00605961" w:rsidRDefault="00285AD2" w:rsidP="00C41999">
            <w:pPr>
              <w:jc w:val="center"/>
              <w:rPr>
                <w:rFonts w:eastAsia="Times New Roman" w:cs="Times New Roman"/>
                <w:b/>
                <w:bCs/>
                <w:color w:val="FFFFFF" w:themeColor="background1"/>
                <w:kern w:val="0"/>
                <w:sz w:val="16"/>
                <w:szCs w:val="16"/>
                <w:lang w:eastAsia="et-EE"/>
                <w14:ligatures w14:val="none"/>
              </w:rPr>
            </w:pPr>
          </w:p>
        </w:tc>
      </w:tr>
      <w:tr w:rsidR="00285AD2" w:rsidRPr="00605961" w14:paraId="323E0392" w14:textId="77777777" w:rsidTr="00285AD2">
        <w:trPr>
          <w:trHeight w:val="300"/>
        </w:trPr>
        <w:tc>
          <w:tcPr>
            <w:tcW w:w="5000" w:type="pct"/>
            <w:gridSpan w:val="13"/>
            <w:hideMark/>
          </w:tcPr>
          <w:p w14:paraId="51407E67" w14:textId="564F109E" w:rsidR="00285AD2" w:rsidRPr="00605961" w:rsidRDefault="00285AD2" w:rsidP="00C41999">
            <w:pPr>
              <w:jc w:val="center"/>
              <w:rPr>
                <w:rFonts w:eastAsia="Times New Roman" w:cs="Times New Roman"/>
                <w:color w:val="000000"/>
                <w:kern w:val="0"/>
                <w:sz w:val="16"/>
                <w:szCs w:val="16"/>
                <w:lang w:eastAsia="et-EE"/>
                <w14:ligatures w14:val="none"/>
              </w:rPr>
            </w:pPr>
            <w:r w:rsidRPr="00605961">
              <w:rPr>
                <w:rFonts w:eastAsia="Times New Roman" w:cs="Times New Roman"/>
                <w:color w:val="000000"/>
                <w:kern w:val="0"/>
                <w:sz w:val="16"/>
                <w:szCs w:val="16"/>
                <w:lang w:eastAsia="et-EE"/>
                <w14:ligatures w14:val="none"/>
              </w:rPr>
              <w:t xml:space="preserve">IV </w:t>
            </w:r>
            <w:r w:rsidR="00934F0F">
              <w:rPr>
                <w:rFonts w:eastAsia="Times New Roman" w:cs="Times New Roman"/>
                <w:color w:val="000000"/>
                <w:kern w:val="0"/>
                <w:sz w:val="16"/>
                <w:szCs w:val="16"/>
                <w:lang w:eastAsia="et-EE"/>
                <w14:ligatures w14:val="none"/>
              </w:rPr>
              <w:t xml:space="preserve">täisteenus </w:t>
            </w:r>
            <w:r w:rsidR="00934F0F" w:rsidRPr="00934F0F">
              <w:rPr>
                <w:rFonts w:eastAsia="Times New Roman" w:cs="Times New Roman"/>
                <w:color w:val="000000"/>
                <w:kern w:val="0"/>
                <w:sz w:val="16"/>
                <w:szCs w:val="16"/>
                <w:lang w:eastAsia="et-EE"/>
                <w14:ligatures w14:val="none"/>
              </w:rPr>
              <w:t>(pakend + kogumine + pesu + logistika)</w:t>
            </w:r>
          </w:p>
        </w:tc>
      </w:tr>
      <w:tr w:rsidR="00605961" w:rsidRPr="00605961" w14:paraId="0911BF4B" w14:textId="77777777" w:rsidTr="00611DB7">
        <w:trPr>
          <w:trHeight w:val="300"/>
        </w:trPr>
        <w:tc>
          <w:tcPr>
            <w:tcW w:w="951" w:type="pct"/>
            <w:shd w:val="clear" w:color="auto" w:fill="0070C0"/>
          </w:tcPr>
          <w:p w14:paraId="22E79DC6" w14:textId="4BC945CD" w:rsidR="00F944CD" w:rsidRPr="00605961" w:rsidRDefault="00F944CD" w:rsidP="00F944CD">
            <w:pPr>
              <w:jc w:val="left"/>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 xml:space="preserve">IV OPEX KOKKU, </w:t>
            </w:r>
            <w:proofErr w:type="spellStart"/>
            <w:r w:rsidRPr="00605961">
              <w:rPr>
                <w:rFonts w:eastAsia="Times New Roman" w:cs="Times New Roman"/>
                <w:b/>
                <w:bCs/>
                <w:color w:val="FFFFFF" w:themeColor="background1"/>
                <w:kern w:val="0"/>
                <w:sz w:val="16"/>
                <w:szCs w:val="16"/>
                <w:lang w:eastAsia="et-EE"/>
                <w14:ligatures w14:val="none"/>
              </w:rPr>
              <w:t>max</w:t>
            </w:r>
            <w:proofErr w:type="spellEnd"/>
          </w:p>
        </w:tc>
        <w:tc>
          <w:tcPr>
            <w:tcW w:w="384" w:type="pct"/>
            <w:shd w:val="clear" w:color="auto" w:fill="0070C0"/>
            <w:noWrap/>
          </w:tcPr>
          <w:p w14:paraId="2A9C693B" w14:textId="73190636"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0,290</w:t>
            </w:r>
          </w:p>
        </w:tc>
        <w:tc>
          <w:tcPr>
            <w:tcW w:w="332" w:type="pct"/>
            <w:shd w:val="clear" w:color="auto" w:fill="0070C0"/>
            <w:noWrap/>
          </w:tcPr>
          <w:p w14:paraId="3167716D" w14:textId="77777777" w:rsidR="00C41999" w:rsidRDefault="00C41999" w:rsidP="00C41999">
            <w:pPr>
              <w:jc w:val="center"/>
              <w:rPr>
                <w:kern w:val="0"/>
                <w:szCs w:val="21"/>
                <w14:ligatures w14:val="none"/>
              </w:rPr>
            </w:pPr>
            <w:r>
              <w:rPr>
                <w:b/>
                <w:bCs/>
                <w:color w:val="FFFFFF"/>
                <w:sz w:val="16"/>
                <w:szCs w:val="16"/>
              </w:rPr>
              <w:t>100</w:t>
            </w:r>
          </w:p>
          <w:p w14:paraId="4D7DCE08" w14:textId="1C5CDBC2"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6E55DB53" w14:textId="64E06035"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2" w:type="pct"/>
            <w:shd w:val="clear" w:color="auto" w:fill="0070C0"/>
            <w:noWrap/>
          </w:tcPr>
          <w:p w14:paraId="6ECBF7DC" w14:textId="0ED7BD01"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21F0A4BD" w14:textId="057A8A7C"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0,290</w:t>
            </w:r>
          </w:p>
        </w:tc>
        <w:tc>
          <w:tcPr>
            <w:tcW w:w="332" w:type="pct"/>
            <w:shd w:val="clear" w:color="auto" w:fill="0070C0"/>
            <w:noWrap/>
          </w:tcPr>
          <w:p w14:paraId="6E62F42B" w14:textId="77777777" w:rsidR="00C41999" w:rsidRDefault="00C41999" w:rsidP="00C41999">
            <w:pPr>
              <w:jc w:val="center"/>
              <w:rPr>
                <w:kern w:val="0"/>
                <w:szCs w:val="21"/>
                <w14:ligatures w14:val="none"/>
              </w:rPr>
            </w:pPr>
            <w:r>
              <w:rPr>
                <w:b/>
                <w:bCs/>
                <w:color w:val="FFFFFF"/>
                <w:sz w:val="16"/>
                <w:szCs w:val="16"/>
              </w:rPr>
              <w:t>100</w:t>
            </w:r>
          </w:p>
          <w:p w14:paraId="27ECBD34" w14:textId="50E4A38B"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402345DD" w14:textId="57153387"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243BFE30" w14:textId="6366B67B"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2C93352E" w14:textId="767370DC"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0,290</w:t>
            </w:r>
          </w:p>
        </w:tc>
        <w:tc>
          <w:tcPr>
            <w:tcW w:w="333" w:type="pct"/>
            <w:shd w:val="clear" w:color="auto" w:fill="0070C0"/>
            <w:noWrap/>
          </w:tcPr>
          <w:p w14:paraId="460F3AD9" w14:textId="77777777" w:rsidR="00C41999" w:rsidRDefault="00C41999" w:rsidP="00C41999">
            <w:pPr>
              <w:jc w:val="center"/>
              <w:rPr>
                <w:kern w:val="0"/>
                <w:szCs w:val="21"/>
                <w14:ligatures w14:val="none"/>
              </w:rPr>
            </w:pPr>
            <w:r>
              <w:rPr>
                <w:b/>
                <w:bCs/>
                <w:color w:val="FFFFFF"/>
                <w:sz w:val="16"/>
                <w:szCs w:val="16"/>
              </w:rPr>
              <w:t>100</w:t>
            </w:r>
          </w:p>
          <w:p w14:paraId="266BF2F7" w14:textId="0BCCACD6"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1654ABA0" w14:textId="17100F00"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1" w:type="pct"/>
            <w:shd w:val="clear" w:color="auto" w:fill="0070C0"/>
            <w:noWrap/>
          </w:tcPr>
          <w:p w14:paraId="4948CDF3" w14:textId="5E1C2833"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r>
      <w:tr w:rsidR="00605961" w:rsidRPr="00605961" w14:paraId="599B6EBB" w14:textId="77777777" w:rsidTr="00611DB7">
        <w:trPr>
          <w:trHeight w:val="300"/>
        </w:trPr>
        <w:tc>
          <w:tcPr>
            <w:tcW w:w="951" w:type="pct"/>
            <w:shd w:val="clear" w:color="auto" w:fill="0070C0"/>
          </w:tcPr>
          <w:p w14:paraId="101BBCD4" w14:textId="3C9E4EB3" w:rsidR="00F944CD" w:rsidRPr="00605961" w:rsidRDefault="00F944CD" w:rsidP="00F944CD">
            <w:pPr>
              <w:jc w:val="left"/>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IV OPEX KOKKU, min</w:t>
            </w:r>
          </w:p>
        </w:tc>
        <w:tc>
          <w:tcPr>
            <w:tcW w:w="384" w:type="pct"/>
            <w:shd w:val="clear" w:color="auto" w:fill="0070C0"/>
            <w:noWrap/>
          </w:tcPr>
          <w:p w14:paraId="1327BAC1" w14:textId="5D61B3BF"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0,158</w:t>
            </w:r>
          </w:p>
        </w:tc>
        <w:tc>
          <w:tcPr>
            <w:tcW w:w="332" w:type="pct"/>
            <w:shd w:val="clear" w:color="auto" w:fill="0070C0"/>
            <w:noWrap/>
          </w:tcPr>
          <w:p w14:paraId="07690667" w14:textId="77777777" w:rsidR="00C41999" w:rsidRDefault="00C41999" w:rsidP="00C41999">
            <w:pPr>
              <w:jc w:val="center"/>
              <w:rPr>
                <w:kern w:val="0"/>
                <w:szCs w:val="21"/>
                <w14:ligatures w14:val="none"/>
              </w:rPr>
            </w:pPr>
            <w:r>
              <w:rPr>
                <w:b/>
                <w:bCs/>
                <w:color w:val="FFFFFF"/>
                <w:sz w:val="16"/>
                <w:szCs w:val="16"/>
              </w:rPr>
              <w:t>100</w:t>
            </w:r>
          </w:p>
          <w:p w14:paraId="76343841" w14:textId="2CD1CB17"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4C5F1404" w14:textId="691561EB"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2" w:type="pct"/>
            <w:shd w:val="clear" w:color="auto" w:fill="0070C0"/>
            <w:noWrap/>
          </w:tcPr>
          <w:p w14:paraId="768FC7C6" w14:textId="745A67FC"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04EFED78" w14:textId="75380DF5"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0,158</w:t>
            </w:r>
          </w:p>
        </w:tc>
        <w:tc>
          <w:tcPr>
            <w:tcW w:w="332" w:type="pct"/>
            <w:shd w:val="clear" w:color="auto" w:fill="0070C0"/>
            <w:noWrap/>
          </w:tcPr>
          <w:p w14:paraId="4C433FDD" w14:textId="77777777" w:rsidR="00C41999" w:rsidRDefault="00C41999" w:rsidP="00C41999">
            <w:pPr>
              <w:jc w:val="center"/>
              <w:rPr>
                <w:kern w:val="0"/>
                <w:szCs w:val="21"/>
                <w14:ligatures w14:val="none"/>
              </w:rPr>
            </w:pPr>
            <w:r>
              <w:rPr>
                <w:b/>
                <w:bCs/>
                <w:color w:val="FFFFFF"/>
                <w:sz w:val="16"/>
                <w:szCs w:val="16"/>
              </w:rPr>
              <w:t>100</w:t>
            </w:r>
          </w:p>
          <w:p w14:paraId="0375D5DC" w14:textId="5955D117"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5A9A146A" w14:textId="2BE066E0"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640E08E3" w14:textId="5AD76522"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4" w:type="pct"/>
            <w:shd w:val="clear" w:color="auto" w:fill="0070C0"/>
            <w:noWrap/>
          </w:tcPr>
          <w:p w14:paraId="0977D944" w14:textId="48BC21CD"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0,158</w:t>
            </w:r>
          </w:p>
        </w:tc>
        <w:tc>
          <w:tcPr>
            <w:tcW w:w="333" w:type="pct"/>
            <w:shd w:val="clear" w:color="auto" w:fill="0070C0"/>
            <w:noWrap/>
          </w:tcPr>
          <w:p w14:paraId="49FE988B" w14:textId="77777777" w:rsidR="00C41999" w:rsidRDefault="00C41999" w:rsidP="00C41999">
            <w:pPr>
              <w:jc w:val="center"/>
              <w:rPr>
                <w:kern w:val="0"/>
                <w:szCs w:val="21"/>
                <w14:ligatures w14:val="none"/>
              </w:rPr>
            </w:pPr>
            <w:r>
              <w:rPr>
                <w:b/>
                <w:bCs/>
                <w:color w:val="FFFFFF"/>
                <w:sz w:val="16"/>
                <w:szCs w:val="16"/>
              </w:rPr>
              <w:t>100</w:t>
            </w:r>
          </w:p>
          <w:p w14:paraId="55D6AF4A" w14:textId="1E0F3F5D"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p>
        </w:tc>
        <w:tc>
          <w:tcPr>
            <w:tcW w:w="334" w:type="pct"/>
            <w:shd w:val="clear" w:color="auto" w:fill="0070C0"/>
            <w:noWrap/>
          </w:tcPr>
          <w:p w14:paraId="280F7C75" w14:textId="36012407"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c>
          <w:tcPr>
            <w:tcW w:w="331" w:type="pct"/>
            <w:shd w:val="clear" w:color="auto" w:fill="0070C0"/>
            <w:noWrap/>
          </w:tcPr>
          <w:p w14:paraId="75264E6C" w14:textId="64CFDF55" w:rsidR="00F944CD" w:rsidRPr="00605961" w:rsidRDefault="00F944CD" w:rsidP="00C41999">
            <w:pPr>
              <w:jc w:val="center"/>
              <w:rPr>
                <w:rFonts w:eastAsia="Times New Roman" w:cs="Times New Roman"/>
                <w:b/>
                <w:bCs/>
                <w:color w:val="FFFFFF" w:themeColor="background1"/>
                <w:kern w:val="0"/>
                <w:sz w:val="16"/>
                <w:szCs w:val="16"/>
                <w:lang w:eastAsia="et-EE"/>
                <w14:ligatures w14:val="none"/>
              </w:rPr>
            </w:pPr>
            <w:r w:rsidRPr="00605961">
              <w:rPr>
                <w:rFonts w:eastAsia="Times New Roman" w:cs="Times New Roman"/>
                <w:b/>
                <w:bCs/>
                <w:color w:val="FFFFFF" w:themeColor="background1"/>
                <w:kern w:val="0"/>
                <w:sz w:val="16"/>
                <w:szCs w:val="16"/>
                <w:lang w:eastAsia="et-EE"/>
                <w14:ligatures w14:val="none"/>
              </w:rPr>
              <w:t>-</w:t>
            </w:r>
          </w:p>
        </w:tc>
      </w:tr>
    </w:tbl>
    <w:p w14:paraId="1C5E254E" w14:textId="3084B54C" w:rsidR="00F00B50" w:rsidRDefault="008D4CE5" w:rsidP="008D4CE5">
      <w:pPr>
        <w:pStyle w:val="Allikas"/>
      </w:pPr>
      <w:r>
        <w:t>Allikas: autori arvutused</w:t>
      </w:r>
    </w:p>
    <w:p w14:paraId="5CAB9937" w14:textId="287FAD55" w:rsidR="00D02F94" w:rsidRPr="00D02F94" w:rsidRDefault="00D42D06" w:rsidP="00D02F94">
      <w:pPr>
        <w:rPr>
          <w:szCs w:val="21"/>
        </w:rPr>
      </w:pPr>
      <w:r w:rsidRPr="00D42D06">
        <w:rPr>
          <w:szCs w:val="21"/>
        </w:rPr>
        <w:t xml:space="preserve">BAU-stsenaariumis moodustavad jooksvatest tegevuskuludest (OPEX) suurima osa ühekordsete pakendite ost ja jäätmekäitlus, kusjuures </w:t>
      </w:r>
      <w:proofErr w:type="spellStart"/>
      <w:r w:rsidRPr="00D42D06">
        <w:rPr>
          <w:szCs w:val="21"/>
        </w:rPr>
        <w:t>teenustevaheline</w:t>
      </w:r>
      <w:proofErr w:type="spellEnd"/>
      <w:r w:rsidRPr="00D42D06">
        <w:rPr>
          <w:szCs w:val="21"/>
        </w:rPr>
        <w:t xml:space="preserve"> erinevus tuleneb eeskätt pakendiprofiilist. Teenus1 puhul on BAU OPEX 0,150 eurot kasutuskorra kohta ning suurimad komponendid on jäätmekäitlus (0,051 eurot; 34%), pappkarbid (0,040 eurot; 26%) ja joogitopsid (0,037 eurot; 24%). Teenus2 BAU OPEX on 0,089 eurot kasutuskorra kohta, millest suurema osa moodustavad joogitopsid (0,047 eurot; 53%) ja jäätmekäitlus (0,036 eurot; 41%). Teenus3 BAU OPEX on 0,072 eurot kasutuskorra kohta ning ka seal domineerivad joogitopsid (0,033 eurot; 46%) ja jäätmekäitlus (0,029 eurot; 40%).</w:t>
      </w:r>
      <w:r w:rsidR="00D02F94" w:rsidRPr="00D02F94">
        <w:rPr>
          <w:szCs w:val="21"/>
        </w:rPr>
        <w:t xml:space="preserve"> </w:t>
      </w:r>
      <w:r w:rsidRPr="00D42D06">
        <w:rPr>
          <w:szCs w:val="21"/>
        </w:rPr>
        <w:lastRenderedPageBreak/>
        <w:t>Seega on BAU kulubaas Teenus1 puhul suurem eeskätt seetõttu, et kulustruktuur on mitmekesisem ning kõrgem on ka mõne olulise komponendi, eriti pappkarpide ja jäätmekäitluse, ühikukulu</w:t>
      </w:r>
      <w:r w:rsidR="00D02F94" w:rsidRPr="00D02F94">
        <w:rPr>
          <w:szCs w:val="21"/>
        </w:rPr>
        <w:t>. (Tabel 5)</w:t>
      </w:r>
    </w:p>
    <w:p w14:paraId="3E21BB48" w14:textId="7177812E" w:rsidR="00D02F94" w:rsidRPr="00D02F94" w:rsidRDefault="00D02F94" w:rsidP="00D02F94">
      <w:pPr>
        <w:rPr>
          <w:szCs w:val="21"/>
        </w:rPr>
      </w:pPr>
      <w:r w:rsidRPr="00D02F94">
        <w:rPr>
          <w:szCs w:val="21"/>
        </w:rPr>
        <w:t xml:space="preserve">Stsenaariumis II (kohapealne pesu) on OPEX kõigis teenustes </w:t>
      </w:r>
      <w:proofErr w:type="spellStart"/>
      <w:r w:rsidRPr="00D02F94">
        <w:rPr>
          <w:szCs w:val="21"/>
        </w:rPr>
        <w:t>BAU-st</w:t>
      </w:r>
      <w:proofErr w:type="spellEnd"/>
      <w:r w:rsidRPr="00D02F94">
        <w:rPr>
          <w:szCs w:val="21"/>
        </w:rPr>
        <w:t xml:space="preserve"> madalam</w:t>
      </w:r>
      <w:r>
        <w:rPr>
          <w:szCs w:val="21"/>
        </w:rPr>
        <w:t>;</w:t>
      </w:r>
      <w:r w:rsidRPr="00D02F94">
        <w:rPr>
          <w:szCs w:val="21"/>
        </w:rPr>
        <w:t xml:space="preserve"> Teenus1-s 0,075 eurot/kasutuskord, Teenus2-s 0,052 eurot/kasutuskord ja Teenus3-s 0,052 eurot/kasutuskord. Kulustruktuur näitab, et II mudelis ei kujunda ühikukulu taset üksnes pesu energia- ja veekomponent, vaid määravad eeskätt inventari ringlusega seotud asendusvajadus ning tööjõud (ning pesuprotsessi kulud laiemalt, sh pesuvahend). Teenus1-s tuleb peaaegu pool OPEX-ist asenduskulust (0,035 eurot; 46%), millele järgnevad pesu (0,01</w:t>
      </w:r>
      <w:r w:rsidR="003C0034">
        <w:rPr>
          <w:szCs w:val="21"/>
        </w:rPr>
        <w:t>6</w:t>
      </w:r>
      <w:r w:rsidRPr="00D02F94">
        <w:rPr>
          <w:szCs w:val="21"/>
        </w:rPr>
        <w:t xml:space="preserve"> eurot; 2</w:t>
      </w:r>
      <w:r w:rsidR="003C0034">
        <w:rPr>
          <w:szCs w:val="21"/>
        </w:rPr>
        <w:t>2</w:t>
      </w:r>
      <w:r w:rsidRPr="00D02F94">
        <w:rPr>
          <w:szCs w:val="21"/>
        </w:rPr>
        <w:t xml:space="preserve">%) ning tööjõud ja hooldus (0,013 eurot; 17%); kogumine ja sorteerimine (0,006 eurot; 8%) ning kadu/purunemine (0,005 eurot; 7%) moodustavad ülejäänu. Teenus2-s ja Teenus3-s on jaotus sarnane: asenduskulu on ligikaudu 38–39% (0,020 eurot), pesuprotsessi sisend (pesu/pesuvahend) </w:t>
      </w:r>
      <w:r w:rsidR="003C0034">
        <w:rPr>
          <w:szCs w:val="21"/>
        </w:rPr>
        <w:t>31</w:t>
      </w:r>
      <w:r w:rsidRPr="00D02F94">
        <w:rPr>
          <w:szCs w:val="21"/>
        </w:rPr>
        <w:t>% (0,01</w:t>
      </w:r>
      <w:r w:rsidR="003C0034">
        <w:rPr>
          <w:szCs w:val="21"/>
        </w:rPr>
        <w:t>6</w:t>
      </w:r>
      <w:r w:rsidRPr="00D02F94">
        <w:rPr>
          <w:szCs w:val="21"/>
        </w:rPr>
        <w:t xml:space="preserve"> eurot) ja tööjõud/hooldus 9% (0,005 eurot). Sellest järeldub, et kohapealse mudeli kulutõhusus sõltub eeskätt pakendite tegelikust elueast ja kadude kontrollist. (Tabel 5)</w:t>
      </w:r>
    </w:p>
    <w:p w14:paraId="2F1A8D01" w14:textId="70AA1559" w:rsidR="00D02F94" w:rsidRPr="00D02F94" w:rsidRDefault="00D02F94" w:rsidP="00D02F94">
      <w:pPr>
        <w:rPr>
          <w:szCs w:val="21"/>
        </w:rPr>
      </w:pPr>
      <w:r w:rsidRPr="00D02F94">
        <w:rPr>
          <w:szCs w:val="21"/>
        </w:rPr>
        <w:t>Stsenaariumis III (tsentraalne pesu) on OPEX Teenus1-s 0,225 eurot/kasutuskord ja Teenus2-s 0,21</w:t>
      </w:r>
      <w:r w:rsidR="003C0034">
        <w:rPr>
          <w:szCs w:val="21"/>
        </w:rPr>
        <w:t>1</w:t>
      </w:r>
      <w:r w:rsidRPr="00D02F94">
        <w:rPr>
          <w:szCs w:val="21"/>
        </w:rPr>
        <w:t xml:space="preserve"> eurot/kasutuskord, samas kui Teenus3-s on OPEX 0,077 eurot/kasutuskord. Teenus1 ja Teenus2 puhul koondub valdav osa kuludest kahele komponendile: pesu ja logistika. Teenus1-s moodustab pesu 0,111 eurot/kasutuskord (49%) ja logistika 0,063 eurot/kasutuskord (28%); Teenus2-s moodustab pesu 0,111 eurot/kasutuskord (53%) ja logistika 0,063 eurot/kasutuskord (30%). Ülejäänud osa tuleb peamiselt asenduskulust ja väiksematest üldkuludest. See struktuur peegeldab tsentraalse mudeli olemust: </w:t>
      </w:r>
      <w:proofErr w:type="spellStart"/>
      <w:r w:rsidRPr="00D02F94">
        <w:rPr>
          <w:szCs w:val="21"/>
        </w:rPr>
        <w:t>pöördlogistika</w:t>
      </w:r>
      <w:proofErr w:type="spellEnd"/>
      <w:r w:rsidRPr="00D02F94">
        <w:rPr>
          <w:szCs w:val="21"/>
        </w:rPr>
        <w:t xml:space="preserve"> ning koondpesu käitamine lisavad püsiva kulubloki, mis kujundab ühikukulu taseme. Teenus3 puhul ei domineeri üksik kulublokk samal määral; suurusjärgus võrreldavad on logistika (0,021 eurot; 28%), asenduskulu (0,020 eurot; 26%) ja pesu (0,019 eurot; 25%), lisaks on üldkulude osakaal märkimisväärne (0,011 eurot; 14%). (Tabel 5)</w:t>
      </w:r>
    </w:p>
    <w:p w14:paraId="28A01CA8" w14:textId="6B6161A3" w:rsidR="00D02F94" w:rsidRPr="00D02F94" w:rsidRDefault="00475417" w:rsidP="00D02F94">
      <w:pPr>
        <w:rPr>
          <w:szCs w:val="21"/>
        </w:rPr>
      </w:pPr>
      <w:r w:rsidRPr="00475417">
        <w:rPr>
          <w:szCs w:val="21"/>
        </w:rPr>
        <w:t>Stsenaariumis IV (täisteenus) esitatakse OPEX koondhinnana, mis jääb sõltuvalt hinnatasemest vahemikku 0,158–0,290 eurot kasutuskorra kohta. Teenustasu koondab pesu, logistika ja halduse üheks hinnaparameetriks. Tabel 5 järgi sõltub IV stsenaariumi kulutase otseselt hinnastamisest: kõrgema hinna korral on see kõigis teenustes selgelt kallim kui BAU, II ja III stsenaarium. Madalama hinna korral on IV stsenaariumi ühikukulu Teenus1 ja Teenus2 puhul madalam kui III stsenaariumis, kuid jääb siiski kõrgemaks kui BAU ja II stsenaariumis. Teenus3 puhul ületab IV ühikukulu ka madalama hinna korral III stsenaariumi ühikukulu</w:t>
      </w:r>
      <w:r w:rsidR="00C52AC1" w:rsidRPr="00C52AC1">
        <w:rPr>
          <w:szCs w:val="21"/>
        </w:rPr>
        <w:t>.</w:t>
      </w:r>
      <w:r w:rsidR="00D02F94" w:rsidRPr="00D02F94">
        <w:rPr>
          <w:szCs w:val="21"/>
        </w:rPr>
        <w:t xml:space="preserve"> (Tabel 5)</w:t>
      </w:r>
    </w:p>
    <w:p w14:paraId="2D5E7B83" w14:textId="1C65C1B3" w:rsidR="00D02F94" w:rsidRDefault="00D02F94" w:rsidP="008C1498">
      <w:pPr>
        <w:rPr>
          <w:szCs w:val="21"/>
        </w:rPr>
      </w:pPr>
      <w:r>
        <w:rPr>
          <w:szCs w:val="21"/>
        </w:rPr>
        <w:t>T</w:t>
      </w:r>
      <w:r w:rsidRPr="00D02F94">
        <w:rPr>
          <w:szCs w:val="21"/>
        </w:rPr>
        <w:t xml:space="preserve">abelis 5 on korduskasutusstsenaariumite tulemused esitatud paralleelselt kahel pakendi eluea eeldusel. BAU stsenaariumis ühikukulu eluea muutusest ei sõltu, kuna kulud tulenevad ühekordsest kasutusest. II ja III stsenaariumis vähendab pakendi eluea pikenemine jooksvat asendusvajadust ning sellest tulenevat asenduskulu nii absoluutväärtuselt kui osakaalult. Teenus1 II stsenaariumis väheneb </w:t>
      </w:r>
      <w:r w:rsidR="00E04037">
        <w:rPr>
          <w:szCs w:val="21"/>
        </w:rPr>
        <w:t xml:space="preserve">pakendite </w:t>
      </w:r>
      <w:r w:rsidRPr="00D02F94">
        <w:rPr>
          <w:szCs w:val="21"/>
        </w:rPr>
        <w:t>asenduskulu 0,035 eurolt 0,023 euroni/kasutuskord, kusjuures selle osatähtsus väheneb 46%-</w:t>
      </w:r>
      <w:proofErr w:type="spellStart"/>
      <w:r w:rsidRPr="00D02F94">
        <w:rPr>
          <w:szCs w:val="21"/>
        </w:rPr>
        <w:t>lt</w:t>
      </w:r>
      <w:proofErr w:type="spellEnd"/>
      <w:r w:rsidRPr="00D02F94">
        <w:rPr>
          <w:szCs w:val="21"/>
        </w:rPr>
        <w:t xml:space="preserve"> 36%-</w:t>
      </w:r>
      <w:proofErr w:type="spellStart"/>
      <w:r w:rsidRPr="00D02F94">
        <w:rPr>
          <w:szCs w:val="21"/>
        </w:rPr>
        <w:t>ni</w:t>
      </w:r>
      <w:proofErr w:type="spellEnd"/>
      <w:r w:rsidRPr="00D02F94">
        <w:rPr>
          <w:szCs w:val="21"/>
        </w:rPr>
        <w:t xml:space="preserve">, ning OPEX kokku väheneb 0,075 eurolt 0,063 euroni/kasutuskord. Teenus2 ja Teenus3 puhul väheneb II OPEX kokku 0,052 eurolt 0,045 euroni/kasutuskord; </w:t>
      </w:r>
      <w:r w:rsidR="002D244C">
        <w:rPr>
          <w:szCs w:val="21"/>
        </w:rPr>
        <w:t xml:space="preserve">pakendite </w:t>
      </w:r>
      <w:r w:rsidRPr="00D02F94">
        <w:rPr>
          <w:szCs w:val="21"/>
        </w:rPr>
        <w:t>asenduskulu osatähtsus väheneb Teenus2 puhul 38%-</w:t>
      </w:r>
      <w:proofErr w:type="spellStart"/>
      <w:r w:rsidRPr="00D02F94">
        <w:rPr>
          <w:szCs w:val="21"/>
        </w:rPr>
        <w:t>lt</w:t>
      </w:r>
      <w:proofErr w:type="spellEnd"/>
      <w:r w:rsidRPr="00D02F94">
        <w:rPr>
          <w:szCs w:val="21"/>
        </w:rPr>
        <w:t xml:space="preserve"> 29%-</w:t>
      </w:r>
      <w:proofErr w:type="spellStart"/>
      <w:r w:rsidRPr="00D02F94">
        <w:rPr>
          <w:szCs w:val="21"/>
        </w:rPr>
        <w:t>ni</w:t>
      </w:r>
      <w:proofErr w:type="spellEnd"/>
      <w:r w:rsidRPr="00D02F94">
        <w:rPr>
          <w:szCs w:val="21"/>
        </w:rPr>
        <w:t xml:space="preserve"> ja Teenus3 puhul 39%-</w:t>
      </w:r>
      <w:proofErr w:type="spellStart"/>
      <w:r w:rsidRPr="00D02F94">
        <w:rPr>
          <w:szCs w:val="21"/>
        </w:rPr>
        <w:t>lt</w:t>
      </w:r>
      <w:proofErr w:type="spellEnd"/>
      <w:r w:rsidRPr="00D02F94">
        <w:rPr>
          <w:szCs w:val="21"/>
        </w:rPr>
        <w:t xml:space="preserve"> 30%-</w:t>
      </w:r>
      <w:proofErr w:type="spellStart"/>
      <w:r w:rsidRPr="00D02F94">
        <w:rPr>
          <w:szCs w:val="21"/>
        </w:rPr>
        <w:t>ni</w:t>
      </w:r>
      <w:proofErr w:type="spellEnd"/>
      <w:r w:rsidRPr="00D02F94">
        <w:rPr>
          <w:szCs w:val="21"/>
        </w:rPr>
        <w:t xml:space="preserve">. III stsenaariumis on eluea pikenemise mõju mõõdukam, kuna ühikukulu taset kujundavad suuremas ulatuses </w:t>
      </w:r>
      <w:proofErr w:type="spellStart"/>
      <w:r w:rsidRPr="00D02F94">
        <w:rPr>
          <w:szCs w:val="21"/>
        </w:rPr>
        <w:t>pöördlogistika</w:t>
      </w:r>
      <w:proofErr w:type="spellEnd"/>
      <w:r w:rsidRPr="00D02F94">
        <w:rPr>
          <w:szCs w:val="21"/>
        </w:rPr>
        <w:t xml:space="preserve"> ja koondpesu püsikulud; siiski OPEX kokku väheneb Teenus1 puhul 0,225 eurolt 0,213 euroni/kasutuskord, Teenus2 puhul 0,21</w:t>
      </w:r>
      <w:r w:rsidR="002D244C">
        <w:rPr>
          <w:szCs w:val="21"/>
        </w:rPr>
        <w:t>1</w:t>
      </w:r>
      <w:r w:rsidRPr="00D02F94">
        <w:rPr>
          <w:szCs w:val="21"/>
        </w:rPr>
        <w:t xml:space="preserve"> eurolt 0,204 euroni/kasutuskord ning Teenus3 puhul 0,077 eurolt 0,070 euroni/kasutuskord. Samal ajal väheneb ka </w:t>
      </w:r>
      <w:r w:rsidR="002D244C">
        <w:rPr>
          <w:szCs w:val="21"/>
        </w:rPr>
        <w:t xml:space="preserve">pakendite </w:t>
      </w:r>
      <w:r w:rsidRPr="00D02F94">
        <w:rPr>
          <w:szCs w:val="21"/>
        </w:rPr>
        <w:t xml:space="preserve">asenduskulu komponent, näiteks Teenus2 III stsenaariumis 0,020 eurolt 0,013 euroni/kasutuskord. </w:t>
      </w:r>
      <w:r w:rsidR="00475417">
        <w:rPr>
          <w:szCs w:val="21"/>
        </w:rPr>
        <w:t>I</w:t>
      </w:r>
      <w:r w:rsidR="00475417" w:rsidRPr="00475417">
        <w:rPr>
          <w:szCs w:val="21"/>
        </w:rPr>
        <w:t>V stsenaariumis ei sõltu ühikukulu pakendi eluea eeldusest, kuna see on mudelis määratud teenustasuna. Samas sõltub IV ühikukulu teenuse hinnatasemest ning tabelis on see esitatud eraldi miinimum- ja maksimumväärtusena</w:t>
      </w:r>
      <w:r w:rsidRPr="00D02F94">
        <w:rPr>
          <w:szCs w:val="21"/>
        </w:rPr>
        <w:t>. (Tabel 5)</w:t>
      </w:r>
    </w:p>
    <w:p w14:paraId="60A06FE8" w14:textId="25B34142" w:rsidR="008C1498" w:rsidRPr="008C1498" w:rsidRDefault="00475417" w:rsidP="008C1498">
      <w:pPr>
        <w:rPr>
          <w:szCs w:val="21"/>
        </w:rPr>
      </w:pPr>
      <w:r w:rsidRPr="00475417">
        <w:rPr>
          <w:szCs w:val="21"/>
        </w:rPr>
        <w:lastRenderedPageBreak/>
        <w:t>Kokkuvõtlikult võib järeldada, et suletud süsteemis on kohapealne pesu (II) OPEX-vaates kulutõhusaim ning selle peamised mõjutegurid on inventari kestvus ja asendusvajadus. Tsentraalse pesu mudeli (III) kuluprofiili kujundavad eeskätt pesu ja logistika kui domineerivad kulukomponendid. Täisteenuse mudeli (IV) puhul sõltub ühikukulu kõige rohkem teenustasu tasemest, mistõttu määrab hinnastamine otseselt selle, kui lähedale jääb IV stsenaarium III stsenaariumi kulutasemele või kui palju see sellest kallimaks osutub</w:t>
      </w:r>
      <w:r w:rsidR="008C1498" w:rsidRPr="008C1498">
        <w:rPr>
          <w:szCs w:val="21"/>
        </w:rPr>
        <w:t>.</w:t>
      </w:r>
    </w:p>
    <w:p w14:paraId="62C9D15D" w14:textId="134CF133" w:rsidR="00540AA4" w:rsidRDefault="00540AA4" w:rsidP="00070BA1">
      <w:pPr>
        <w:rPr>
          <w:szCs w:val="21"/>
        </w:rPr>
      </w:pPr>
      <w:r w:rsidRPr="00540AA4">
        <w:rPr>
          <w:szCs w:val="21"/>
        </w:rPr>
        <w:t xml:space="preserve">Tulemuste suund on kooskõlas </w:t>
      </w:r>
      <w:r>
        <w:rPr>
          <w:szCs w:val="21"/>
        </w:rPr>
        <w:t xml:space="preserve">käesolevas </w:t>
      </w:r>
      <w:r w:rsidRPr="00540AA4">
        <w:rPr>
          <w:szCs w:val="21"/>
        </w:rPr>
        <w:t>analüüsis käsitletava uuringute tulemustega. Korduskasutussüsteemide CBA käsitlustes tuuakse korduskasutuslahenduste peamiste kulukategooriatena esile nõudepesu ja korduskasutusnõude inventarikulu (soetus, amortisatsioon ja asendus kadude tõttu), kusjuures kulude tase sõltub otseselt süsteemi operatiivsest ülesehitusest ja protsessidisainist</w:t>
      </w:r>
      <w:r w:rsidR="008D4CE5">
        <w:rPr>
          <w:rStyle w:val="Allmrkuseviide"/>
          <w:szCs w:val="21"/>
        </w:rPr>
        <w:footnoteReference w:id="11"/>
      </w:r>
      <w:r w:rsidRPr="00540AA4">
        <w:rPr>
          <w:szCs w:val="21"/>
        </w:rPr>
        <w:t xml:space="preserve">. Samuti rõhutatakse, et korduskasutusmudelid võivad nõuda märkimisväärset investeeringuvajadust ning tekitada püsivaid operatiivkulusid, mis on seotud kogumise, sorteerimise, inspekteerimise ja </w:t>
      </w:r>
      <w:proofErr w:type="spellStart"/>
      <w:r w:rsidRPr="00540AA4">
        <w:rPr>
          <w:szCs w:val="21"/>
        </w:rPr>
        <w:t>pöördlogistikaga</w:t>
      </w:r>
      <w:proofErr w:type="spellEnd"/>
      <w:r w:rsidRPr="00540AA4">
        <w:rPr>
          <w:szCs w:val="21"/>
        </w:rPr>
        <w:t>, ning et ühikukulu konkurentsivõime eeldab sageli mastaabisäästu</w:t>
      </w:r>
      <w:r w:rsidR="008D4CE5">
        <w:rPr>
          <w:szCs w:val="21"/>
        </w:rPr>
        <w:t xml:space="preserve">. </w:t>
      </w:r>
      <w:r w:rsidRPr="00540AA4">
        <w:rPr>
          <w:szCs w:val="21"/>
        </w:rPr>
        <w:t>Suletud ringluse (kohapealse tarbimise) eripära seisneb selles, et nõude tagastus on võimalik korraldada kohapeal, mis lihtsustab tagastusprotsessi ja vähendab transpordi rolli süsteemi kuludes ja mõjudes</w:t>
      </w:r>
      <w:r w:rsidR="008D4CE5">
        <w:rPr>
          <w:szCs w:val="21"/>
        </w:rPr>
        <w:t>.</w:t>
      </w:r>
      <w:r w:rsidR="008D4CE5">
        <w:rPr>
          <w:rStyle w:val="Allmrkuseviide"/>
          <w:szCs w:val="21"/>
        </w:rPr>
        <w:footnoteReference w:id="12"/>
      </w:r>
      <w:r w:rsidRPr="00540AA4">
        <w:rPr>
          <w:szCs w:val="21"/>
        </w:rPr>
        <w:t xml:space="preserve"> Kui ringlus toimub laiemas ahelas, suureneb transpordi osatähtsus nii kuludes kui ka kasvuhoonegaaside heites, mistõttu sõltuvad tulemused suurel määral ringluse korraldusest ja logistika tõhususest</w:t>
      </w:r>
      <w:r w:rsidR="008D4CE5">
        <w:rPr>
          <w:rStyle w:val="Allmrkuseviide"/>
          <w:szCs w:val="21"/>
        </w:rPr>
        <w:footnoteReference w:id="13"/>
      </w:r>
      <w:r w:rsidRPr="00540AA4">
        <w:rPr>
          <w:szCs w:val="21"/>
        </w:rPr>
        <w:t xml:space="preserve">. </w:t>
      </w:r>
    </w:p>
    <w:p w14:paraId="5F590FB6" w14:textId="356736BF" w:rsidR="00896F59" w:rsidRDefault="00896F59" w:rsidP="00896F59">
      <w:pPr>
        <w:pStyle w:val="Pealkiri3"/>
        <w:numPr>
          <w:ilvl w:val="2"/>
          <w:numId w:val="28"/>
        </w:numPr>
      </w:pPr>
      <w:bookmarkStart w:id="10" w:name="_Toc228177587"/>
      <w:proofErr w:type="spellStart"/>
      <w:r w:rsidRPr="00896F59">
        <w:t>BAU</w:t>
      </w:r>
      <w:r w:rsidR="00596022">
        <w:t>-</w:t>
      </w:r>
      <w:r w:rsidRPr="00896F59">
        <w:t>ga</w:t>
      </w:r>
      <w:proofErr w:type="spellEnd"/>
      <w:r w:rsidRPr="00896F59">
        <w:t xml:space="preserve"> võrreldav ühikukulu vahe ja potentsiaalne </w:t>
      </w:r>
      <w:r w:rsidR="00E87CAA">
        <w:t>mõju</w:t>
      </w:r>
      <w:r w:rsidRPr="00896F59">
        <w:t xml:space="preserve"> tarbijale</w:t>
      </w:r>
      <w:bookmarkEnd w:id="10"/>
    </w:p>
    <w:p w14:paraId="7DD313FC" w14:textId="6D6FD0C9" w:rsidR="008133B0" w:rsidRDefault="00C6470D" w:rsidP="008133B0">
      <w:r w:rsidRPr="00C6470D">
        <w:t xml:space="preserve">BAU ühikukulu ja sekkumisstsenaariumite ühikukulu vahe näitab, kui palju erineb korduskasutuslahenduse kulu senisest praktikast. Positiivne vahe tähendab lisakulu võrreldes </w:t>
      </w:r>
      <w:proofErr w:type="spellStart"/>
      <w:r w:rsidRPr="00C6470D">
        <w:t>BAU-ga</w:t>
      </w:r>
      <w:proofErr w:type="spellEnd"/>
      <w:r w:rsidRPr="00C6470D">
        <w:t>. Negatiivne vahe tähendab kulusäästu. Seda saab tõlgendada ka võimaliku mõjuna tarbijahinnale. Kui ühikukulu kasvab, võib see avaldada survet hinnatõusuks. Kui ühikukulu väheneb, võib see anda ettevõtjale suurema hinnaruumi. IV stsenaariumi puhul on täisteenuse hind esitatud vahemikuna, seetõttu on selle mõju näidatud eraldi miinimum- ja maksimumhinna korral</w:t>
      </w:r>
      <w:r w:rsidR="00FE40D9" w:rsidRPr="00FE40D9">
        <w:t xml:space="preserve">. </w:t>
      </w:r>
    </w:p>
    <w:p w14:paraId="05A35E46" w14:textId="41B2142F" w:rsidR="00C6470D" w:rsidRDefault="00C6470D" w:rsidP="00C6470D">
      <w:r>
        <w:t xml:space="preserve">Teenus1 puhul on BAU ühikukulu 0,150 eurot kasutuskorra kohta. Kui pakendi eluiga on 50 kasutuskorda, on II stsenaariumi ühikukulu 0,075 eurot. See on </w:t>
      </w:r>
      <w:proofErr w:type="spellStart"/>
      <w:r>
        <w:t>BAU-st</w:t>
      </w:r>
      <w:proofErr w:type="spellEnd"/>
      <w:r>
        <w:t xml:space="preserve"> 0,075 euro võrra madalam ehk 50% väiksem. Kui pakendi eluiga pikeneb 75 kasutuskorrani, väheneb II stsenaariumi ühikukulu 0,063 euroni. Sel juhul on vahe </w:t>
      </w:r>
      <w:proofErr w:type="spellStart"/>
      <w:r>
        <w:t>BAU-ga</w:t>
      </w:r>
      <w:proofErr w:type="spellEnd"/>
      <w:r>
        <w:t xml:space="preserve"> võrreldes −0,087 eurot ehk −58%. III stsenaariumis on ühikukulu 50 kasutuskorra korral 0,225 eurot. See on </w:t>
      </w:r>
      <w:proofErr w:type="spellStart"/>
      <w:r>
        <w:t>BAU-st</w:t>
      </w:r>
      <w:proofErr w:type="spellEnd"/>
      <w:r>
        <w:t xml:space="preserve"> 0,075 euro võrra kõrgem ehk 50% suurem. Kui eluiga pikeneb 75 kasutuskorrani, väheneb ühikukulu 0,213 euroni. Siis on vahe </w:t>
      </w:r>
      <w:proofErr w:type="spellStart"/>
      <w:r>
        <w:t>BAU-ga</w:t>
      </w:r>
      <w:proofErr w:type="spellEnd"/>
      <w:r>
        <w:t xml:space="preserve"> võrreldes +0,063 eurot ehk +42%. IV stsenaariumis sõltub tulemus teenuse hinnatasemest. Maksimumhinna korral on ühikukulu 0,290 eurot kasutuskorra kohta. See on </w:t>
      </w:r>
      <w:proofErr w:type="spellStart"/>
      <w:r>
        <w:t>BAU-st</w:t>
      </w:r>
      <w:proofErr w:type="spellEnd"/>
      <w:r>
        <w:t xml:space="preserve"> 0,140 eurot kõrgem ehk +93%. Miinimumhinna korral on ühikukulu 0,158 eurot. See on </w:t>
      </w:r>
      <w:proofErr w:type="spellStart"/>
      <w:r>
        <w:t>BAU-st</w:t>
      </w:r>
      <w:proofErr w:type="spellEnd"/>
      <w:r>
        <w:t xml:space="preserve"> vaid 0,008 eurot kõrgem ehk +5%. Teenus1 puhul on seega täisteenuse hinnatase majandustulemuse seisukohalt määrava tähtsusega. (Tabel 6)</w:t>
      </w:r>
    </w:p>
    <w:p w14:paraId="60A355FC" w14:textId="42ADD9B3" w:rsidR="00C6470D" w:rsidRDefault="00C6470D" w:rsidP="00C6470D">
      <w:r>
        <w:t xml:space="preserve">Teenus2 puhul on BAU ühikukulu 0,089 eurot kasutuskorra kohta. Kui pakendi eluiga on 50 kasutuskorda, on II stsenaariumi ühikukulu 0,052 eurot. See on </w:t>
      </w:r>
      <w:proofErr w:type="spellStart"/>
      <w:r>
        <w:t>BAU-st</w:t>
      </w:r>
      <w:proofErr w:type="spellEnd"/>
      <w:r>
        <w:t xml:space="preserve"> 0,037 eurot madalam ehk 42% väiksem. Kui eluiga pikeneb 75 kasutuskorrani, väheneb II ühikukulu 0,045 euroni. Siis on vahe </w:t>
      </w:r>
      <w:proofErr w:type="spellStart"/>
      <w:r>
        <w:t>BAU-ga</w:t>
      </w:r>
      <w:proofErr w:type="spellEnd"/>
      <w:r>
        <w:t xml:space="preserve"> võrreldes −0,044 eurot ehk −49%. III stsenaariumis on ühikukulu 50 kasutuskorra korral 0,211 eurot. </w:t>
      </w:r>
      <w:r>
        <w:lastRenderedPageBreak/>
        <w:t xml:space="preserve">See on </w:t>
      </w:r>
      <w:proofErr w:type="spellStart"/>
      <w:r>
        <w:t>BAU-st</w:t>
      </w:r>
      <w:proofErr w:type="spellEnd"/>
      <w:r>
        <w:t xml:space="preserve"> 0,122 eurot kõrgem ehk 137% suurem. Kui eluiga pikeneb 75 kasutuskorrani, väheneb ühikukulu 0,204 euroni. Sel juhul on vahe </w:t>
      </w:r>
      <w:proofErr w:type="spellStart"/>
      <w:r>
        <w:t>BAU-ga</w:t>
      </w:r>
      <w:proofErr w:type="spellEnd"/>
      <w:r>
        <w:t xml:space="preserve"> võrreldes +0,115 eurot ehk +129%. IV stsenaariumis sõltub tulemus teenuse hinnatasemest. Maksimumhinna korral on ühikukulu 0,290 eurot kasutuskorra kohta. See on </w:t>
      </w:r>
      <w:proofErr w:type="spellStart"/>
      <w:r>
        <w:t>BAU-st</w:t>
      </w:r>
      <w:proofErr w:type="spellEnd"/>
      <w:r>
        <w:t xml:space="preserve"> 0,201 eurot kõrgem ehk +226%. Miinimumhinna korral on ühikukulu 0,158 eurot. See on </w:t>
      </w:r>
      <w:proofErr w:type="spellStart"/>
      <w:r>
        <w:t>BAU-st</w:t>
      </w:r>
      <w:proofErr w:type="spellEnd"/>
      <w:r>
        <w:t xml:space="preserve"> 0,069 eurot kõrgem ehk +78%. Teenus2 puhul jääb täisteenus ka madalama hinna korral selgelt kallimaks kui BAU ja II stsenaarium. (Tabel 6)</w:t>
      </w:r>
    </w:p>
    <w:p w14:paraId="5AA3839F" w14:textId="280EC38E" w:rsidR="00FE40D9" w:rsidRDefault="00FE40D9" w:rsidP="00FE40D9">
      <w:pPr>
        <w:pStyle w:val="Vahedeta"/>
      </w:pPr>
      <w:r w:rsidRPr="008D4CE5">
        <w:rPr>
          <w:b/>
          <w:bCs/>
        </w:rPr>
        <w:t xml:space="preserve">Tabel </w:t>
      </w:r>
      <w:r>
        <w:rPr>
          <w:b/>
          <w:bCs/>
        </w:rPr>
        <w:t>6</w:t>
      </w:r>
      <w:r w:rsidRPr="008D4CE5">
        <w:rPr>
          <w:b/>
          <w:bCs/>
        </w:rPr>
        <w:t>.</w:t>
      </w:r>
      <w:r>
        <w:t xml:space="preserve"> </w:t>
      </w:r>
      <w:proofErr w:type="spellStart"/>
      <w:r w:rsidRPr="00FE40D9">
        <w:t>BAU-ga</w:t>
      </w:r>
      <w:proofErr w:type="spellEnd"/>
      <w:r w:rsidRPr="00FE40D9">
        <w:t xml:space="preserve"> võrreldav ühikukulu erinevus stsenaariumite lõikes ja potentsiaalne mõju tarbijahinnale</w:t>
      </w:r>
      <w:r>
        <w:t xml:space="preserve">, </w:t>
      </w:r>
      <w:r w:rsidRPr="00FE40D9">
        <w:t>eur</w:t>
      </w:r>
      <w:r w:rsidR="00611DB7">
        <w:t>ot</w:t>
      </w:r>
      <w:r w:rsidR="00C43ADB">
        <w:t>/</w:t>
      </w:r>
      <w:r w:rsidRPr="00FE40D9">
        <w:t>kasutuskor</w:t>
      </w:r>
      <w:r>
        <w:t>d ja muutus (%)</w:t>
      </w:r>
    </w:p>
    <w:tbl>
      <w:tblPr>
        <w:tblStyle w:val="Tabelilaad"/>
        <w:tblW w:w="0" w:type="auto"/>
        <w:tblLook w:val="04A0" w:firstRow="1" w:lastRow="0" w:firstColumn="1" w:lastColumn="0" w:noHBand="0" w:noVBand="1"/>
      </w:tblPr>
      <w:tblGrid>
        <w:gridCol w:w="3114"/>
        <w:gridCol w:w="992"/>
        <w:gridCol w:w="992"/>
        <w:gridCol w:w="1134"/>
        <w:gridCol w:w="990"/>
        <w:gridCol w:w="1061"/>
        <w:gridCol w:w="1061"/>
      </w:tblGrid>
      <w:tr w:rsidR="00FE40D9" w:rsidRPr="00FE40D9" w14:paraId="6A4448C2" w14:textId="77777777" w:rsidTr="00CA11F7">
        <w:trPr>
          <w:cnfStyle w:val="100000000000" w:firstRow="1" w:lastRow="0" w:firstColumn="0" w:lastColumn="0" w:oddVBand="0" w:evenVBand="0" w:oddHBand="0" w:evenHBand="0" w:firstRowFirstColumn="0" w:firstRowLastColumn="0" w:lastRowFirstColumn="0" w:lastRowLastColumn="0"/>
          <w:trHeight w:val="332"/>
        </w:trPr>
        <w:tc>
          <w:tcPr>
            <w:tcW w:w="3114" w:type="dxa"/>
            <w:tcBorders>
              <w:top w:val="single" w:sz="4" w:space="0" w:color="FFFFFF"/>
              <w:left w:val="single" w:sz="4" w:space="0" w:color="FFFFFF"/>
              <w:bottom w:val="single" w:sz="4" w:space="0" w:color="FFFFFF"/>
              <w:right w:val="single" w:sz="4" w:space="0" w:color="FFFFFF" w:themeColor="background1"/>
            </w:tcBorders>
            <w:hideMark/>
          </w:tcPr>
          <w:p w14:paraId="023A8016" w14:textId="77777777" w:rsidR="00FE40D9" w:rsidRPr="00FE40D9" w:rsidRDefault="00FE40D9" w:rsidP="00146D3C">
            <w:pPr>
              <w:pStyle w:val="Vahedeta"/>
            </w:pPr>
            <w:r w:rsidRPr="00FE40D9">
              <w:t>Stsenaarium</w:t>
            </w:r>
          </w:p>
        </w:tc>
        <w:tc>
          <w:tcPr>
            <w:tcW w:w="1984" w:type="dxa"/>
            <w:gridSpan w:val="2"/>
            <w:tcBorders>
              <w:top w:val="single" w:sz="4" w:space="0" w:color="FFFFFF"/>
              <w:left w:val="single" w:sz="4" w:space="0" w:color="FFFFFF" w:themeColor="background1"/>
              <w:bottom w:val="single" w:sz="4" w:space="0" w:color="FFFFFF"/>
              <w:right w:val="single" w:sz="4" w:space="0" w:color="FFFFFF"/>
            </w:tcBorders>
            <w:hideMark/>
          </w:tcPr>
          <w:p w14:paraId="1950882A" w14:textId="77777777" w:rsidR="00FE40D9" w:rsidRPr="00FE40D9" w:rsidRDefault="00FE40D9" w:rsidP="0014174E">
            <w:pPr>
              <w:pStyle w:val="Vahedeta"/>
              <w:jc w:val="center"/>
            </w:pPr>
            <w:r w:rsidRPr="00FE40D9">
              <w:t>Teenus1</w:t>
            </w:r>
          </w:p>
        </w:tc>
        <w:tc>
          <w:tcPr>
            <w:tcW w:w="2124" w:type="dxa"/>
            <w:gridSpan w:val="2"/>
            <w:tcBorders>
              <w:top w:val="single" w:sz="4" w:space="0" w:color="FFFFFF"/>
              <w:left w:val="single" w:sz="4" w:space="0" w:color="FFFFFF"/>
              <w:bottom w:val="single" w:sz="4" w:space="0" w:color="FFFFFF"/>
              <w:right w:val="single" w:sz="4" w:space="0" w:color="FFFFFF"/>
            </w:tcBorders>
            <w:hideMark/>
          </w:tcPr>
          <w:p w14:paraId="41846144" w14:textId="77777777" w:rsidR="00FE40D9" w:rsidRPr="00FE40D9" w:rsidRDefault="00FE40D9" w:rsidP="0014174E">
            <w:pPr>
              <w:pStyle w:val="Vahedeta"/>
              <w:jc w:val="center"/>
            </w:pPr>
            <w:r w:rsidRPr="00FE40D9">
              <w:t>Teenus2</w:t>
            </w:r>
          </w:p>
        </w:tc>
        <w:tc>
          <w:tcPr>
            <w:tcW w:w="2122" w:type="dxa"/>
            <w:gridSpan w:val="2"/>
            <w:tcBorders>
              <w:top w:val="single" w:sz="4" w:space="0" w:color="FFFFFF"/>
              <w:left w:val="single" w:sz="4" w:space="0" w:color="FFFFFF"/>
              <w:right w:val="single" w:sz="4" w:space="0" w:color="FFFFFF"/>
            </w:tcBorders>
            <w:hideMark/>
          </w:tcPr>
          <w:p w14:paraId="0E944C6A" w14:textId="77777777" w:rsidR="00FE40D9" w:rsidRPr="00FE40D9" w:rsidRDefault="00FE40D9" w:rsidP="0014174E">
            <w:pPr>
              <w:pStyle w:val="Vahedeta"/>
              <w:jc w:val="center"/>
            </w:pPr>
            <w:r w:rsidRPr="00FE40D9">
              <w:t>Teenus3</w:t>
            </w:r>
          </w:p>
        </w:tc>
      </w:tr>
      <w:tr w:rsidR="0014174E" w:rsidRPr="00FE40D9" w14:paraId="630E799D" w14:textId="77777777" w:rsidTr="00CA11F7">
        <w:trPr>
          <w:trHeight w:val="332"/>
        </w:trPr>
        <w:tc>
          <w:tcPr>
            <w:tcW w:w="3114" w:type="dxa"/>
            <w:tcBorders>
              <w:top w:val="single" w:sz="4" w:space="0" w:color="FFFFFF"/>
              <w:left w:val="single" w:sz="4" w:space="0" w:color="FFFFFF"/>
              <w:bottom w:val="single" w:sz="4" w:space="0" w:color="FFFFFF"/>
              <w:right w:val="single" w:sz="4" w:space="0" w:color="FFFFFF" w:themeColor="background1"/>
            </w:tcBorders>
            <w:shd w:val="clear" w:color="auto" w:fill="0070C0"/>
          </w:tcPr>
          <w:p w14:paraId="1D4F8EF4" w14:textId="77777777" w:rsidR="0014174E" w:rsidRPr="0014174E" w:rsidRDefault="0014174E" w:rsidP="0014174E">
            <w:pPr>
              <w:pStyle w:val="Vahedeta"/>
              <w:rPr>
                <w:b/>
                <w:bCs/>
                <w:color w:val="FFFFFF" w:themeColor="background1"/>
              </w:rPr>
            </w:pPr>
          </w:p>
        </w:tc>
        <w:tc>
          <w:tcPr>
            <w:tcW w:w="992" w:type="dxa"/>
            <w:tcBorders>
              <w:top w:val="single" w:sz="4" w:space="0" w:color="FFFFFF"/>
              <w:left w:val="single" w:sz="4" w:space="0" w:color="FFFFFF" w:themeColor="background1"/>
              <w:bottom w:val="single" w:sz="4" w:space="0" w:color="FFFFFF"/>
              <w:right w:val="single" w:sz="4" w:space="0" w:color="FFFFFF"/>
            </w:tcBorders>
            <w:shd w:val="clear" w:color="auto" w:fill="0070C0"/>
          </w:tcPr>
          <w:p w14:paraId="47E67451" w14:textId="7022389B" w:rsidR="0014174E" w:rsidRPr="0014174E" w:rsidRDefault="0014174E" w:rsidP="0014174E">
            <w:pPr>
              <w:pStyle w:val="Vahedeta"/>
              <w:jc w:val="center"/>
              <w:rPr>
                <w:b/>
                <w:bCs/>
                <w:color w:val="FFFFFF" w:themeColor="background1"/>
              </w:rPr>
            </w:pPr>
            <w:r>
              <w:rPr>
                <w:b/>
                <w:bCs/>
                <w:color w:val="FFFFFF" w:themeColor="background1"/>
              </w:rPr>
              <w:t>e</w:t>
            </w:r>
            <w:r w:rsidRPr="0014174E">
              <w:rPr>
                <w:b/>
                <w:bCs/>
                <w:color w:val="FFFFFF" w:themeColor="background1"/>
              </w:rPr>
              <w:t>urot</w:t>
            </w:r>
          </w:p>
        </w:tc>
        <w:tc>
          <w:tcPr>
            <w:tcW w:w="992" w:type="dxa"/>
            <w:tcBorders>
              <w:top w:val="single" w:sz="4" w:space="0" w:color="FFFFFF"/>
              <w:left w:val="single" w:sz="4" w:space="0" w:color="FFFFFF"/>
              <w:bottom w:val="single" w:sz="4" w:space="0" w:color="FFFFFF"/>
              <w:right w:val="single" w:sz="4" w:space="0" w:color="FFFFFF"/>
            </w:tcBorders>
            <w:shd w:val="clear" w:color="auto" w:fill="0070C0"/>
          </w:tcPr>
          <w:p w14:paraId="102BF5FE" w14:textId="474ABFFD" w:rsidR="0014174E" w:rsidRPr="0014174E" w:rsidRDefault="0014174E" w:rsidP="0014174E">
            <w:pPr>
              <w:pStyle w:val="Vahedeta"/>
              <w:jc w:val="center"/>
              <w:rPr>
                <w:b/>
                <w:bCs/>
                <w:color w:val="FFFFFF" w:themeColor="background1"/>
              </w:rPr>
            </w:pPr>
            <w:r w:rsidRPr="0014174E">
              <w:rPr>
                <w:b/>
                <w:bCs/>
                <w:color w:val="FFFFFF" w:themeColor="background1"/>
              </w:rPr>
              <w:t>%</w:t>
            </w:r>
          </w:p>
        </w:tc>
        <w:tc>
          <w:tcPr>
            <w:tcW w:w="1134" w:type="dxa"/>
            <w:tcBorders>
              <w:top w:val="single" w:sz="4" w:space="0" w:color="FFFFFF"/>
              <w:left w:val="single" w:sz="4" w:space="0" w:color="FFFFFF"/>
              <w:bottom w:val="single" w:sz="4" w:space="0" w:color="FFFFFF"/>
              <w:right w:val="single" w:sz="4" w:space="0" w:color="FFFFFF"/>
            </w:tcBorders>
            <w:shd w:val="clear" w:color="auto" w:fill="0070C0"/>
          </w:tcPr>
          <w:p w14:paraId="5A0EFEBC" w14:textId="6C2753D6" w:rsidR="0014174E" w:rsidRPr="0014174E" w:rsidRDefault="0014174E" w:rsidP="0014174E">
            <w:pPr>
              <w:pStyle w:val="Vahedeta"/>
              <w:jc w:val="center"/>
              <w:rPr>
                <w:b/>
                <w:bCs/>
                <w:color w:val="FFFFFF" w:themeColor="background1"/>
              </w:rPr>
            </w:pPr>
            <w:r>
              <w:rPr>
                <w:b/>
                <w:bCs/>
                <w:color w:val="FFFFFF" w:themeColor="background1"/>
              </w:rPr>
              <w:t>e</w:t>
            </w:r>
            <w:r w:rsidRPr="0014174E">
              <w:rPr>
                <w:b/>
                <w:bCs/>
                <w:color w:val="FFFFFF" w:themeColor="background1"/>
              </w:rPr>
              <w:t>urot</w:t>
            </w:r>
          </w:p>
        </w:tc>
        <w:tc>
          <w:tcPr>
            <w:tcW w:w="990" w:type="dxa"/>
            <w:tcBorders>
              <w:top w:val="single" w:sz="4" w:space="0" w:color="FFFFFF"/>
              <w:left w:val="single" w:sz="4" w:space="0" w:color="FFFFFF"/>
              <w:bottom w:val="single" w:sz="4" w:space="0" w:color="FFFFFF"/>
              <w:right w:val="single" w:sz="4" w:space="0" w:color="FFFFFF"/>
            </w:tcBorders>
            <w:shd w:val="clear" w:color="auto" w:fill="0070C0"/>
          </w:tcPr>
          <w:p w14:paraId="0188D277" w14:textId="2B1196D6" w:rsidR="0014174E" w:rsidRPr="0014174E" w:rsidRDefault="0014174E" w:rsidP="0014174E">
            <w:pPr>
              <w:pStyle w:val="Vahedeta"/>
              <w:jc w:val="center"/>
              <w:rPr>
                <w:b/>
                <w:bCs/>
                <w:color w:val="FFFFFF" w:themeColor="background1"/>
              </w:rPr>
            </w:pPr>
            <w:r w:rsidRPr="0014174E">
              <w:rPr>
                <w:b/>
                <w:bCs/>
                <w:color w:val="FFFFFF" w:themeColor="background1"/>
              </w:rPr>
              <w:t>%</w:t>
            </w:r>
          </w:p>
        </w:tc>
        <w:tc>
          <w:tcPr>
            <w:tcW w:w="1061" w:type="dxa"/>
            <w:tcBorders>
              <w:top w:val="single" w:sz="4" w:space="0" w:color="FFFFFF"/>
              <w:left w:val="single" w:sz="4" w:space="0" w:color="FFFFFF"/>
              <w:bottom w:val="single" w:sz="4" w:space="0" w:color="FFFFFF"/>
              <w:right w:val="single" w:sz="4" w:space="0" w:color="FFFFFF"/>
            </w:tcBorders>
            <w:shd w:val="clear" w:color="auto" w:fill="0070C0"/>
          </w:tcPr>
          <w:p w14:paraId="20687439" w14:textId="0A7436B8" w:rsidR="0014174E" w:rsidRPr="0014174E" w:rsidRDefault="0014174E" w:rsidP="0014174E">
            <w:pPr>
              <w:pStyle w:val="Vahedeta"/>
              <w:jc w:val="center"/>
              <w:rPr>
                <w:b/>
                <w:bCs/>
                <w:color w:val="FFFFFF" w:themeColor="background1"/>
              </w:rPr>
            </w:pPr>
            <w:r>
              <w:rPr>
                <w:b/>
                <w:bCs/>
                <w:color w:val="FFFFFF" w:themeColor="background1"/>
              </w:rPr>
              <w:t>e</w:t>
            </w:r>
            <w:r w:rsidRPr="0014174E">
              <w:rPr>
                <w:b/>
                <w:bCs/>
                <w:color w:val="FFFFFF" w:themeColor="background1"/>
              </w:rPr>
              <w:t>urot</w:t>
            </w:r>
          </w:p>
        </w:tc>
        <w:tc>
          <w:tcPr>
            <w:tcW w:w="1061" w:type="dxa"/>
            <w:tcBorders>
              <w:top w:val="single" w:sz="4" w:space="0" w:color="FFFFFF"/>
              <w:left w:val="single" w:sz="4" w:space="0" w:color="FFFFFF"/>
              <w:bottom w:val="single" w:sz="4" w:space="0" w:color="FFFFFF"/>
              <w:right w:val="single" w:sz="4" w:space="0" w:color="FFFFFF"/>
            </w:tcBorders>
            <w:shd w:val="clear" w:color="auto" w:fill="0070C0"/>
          </w:tcPr>
          <w:p w14:paraId="78FED3C1" w14:textId="4DEDFB7F" w:rsidR="0014174E" w:rsidRPr="0014174E" w:rsidRDefault="0014174E" w:rsidP="0014174E">
            <w:pPr>
              <w:pStyle w:val="Vahedeta"/>
              <w:jc w:val="center"/>
              <w:rPr>
                <w:b/>
                <w:bCs/>
                <w:color w:val="FFFFFF" w:themeColor="background1"/>
              </w:rPr>
            </w:pPr>
            <w:r w:rsidRPr="0014174E">
              <w:rPr>
                <w:b/>
                <w:bCs/>
                <w:color w:val="FFFFFF" w:themeColor="background1"/>
              </w:rPr>
              <w:t>%</w:t>
            </w:r>
          </w:p>
        </w:tc>
      </w:tr>
      <w:tr w:rsidR="00CA11F7" w:rsidRPr="00FE40D9" w14:paraId="41EABEDC" w14:textId="77777777" w:rsidTr="00CA11F7">
        <w:trPr>
          <w:trHeight w:val="332"/>
        </w:trPr>
        <w:tc>
          <w:tcPr>
            <w:tcW w:w="3114" w:type="dxa"/>
            <w:tcBorders>
              <w:top w:val="single" w:sz="4" w:space="0" w:color="FFFFFF"/>
              <w:left w:val="single" w:sz="4" w:space="0" w:color="FFFFFF"/>
            </w:tcBorders>
            <w:shd w:val="clear" w:color="auto" w:fill="F2F2F2" w:themeFill="background1" w:themeFillShade="F2"/>
            <w:hideMark/>
          </w:tcPr>
          <w:p w14:paraId="58A83AE7" w14:textId="0E59888D" w:rsidR="00CA11F7" w:rsidRPr="00FE40D9" w:rsidRDefault="00CA11F7" w:rsidP="0014174E">
            <w:pPr>
              <w:pStyle w:val="Vahedeta"/>
            </w:pPr>
            <w:r w:rsidRPr="00DF1E13">
              <w:t>II (kohapealne pesu), n</w:t>
            </w:r>
            <w:r>
              <w:t xml:space="preserve"> </w:t>
            </w:r>
            <w:r w:rsidRPr="00DF1E13">
              <w:t>=</w:t>
            </w:r>
            <w:r>
              <w:t xml:space="preserve"> </w:t>
            </w:r>
            <w:r w:rsidRPr="00DF1E13">
              <w:t>50</w:t>
            </w:r>
          </w:p>
        </w:tc>
        <w:tc>
          <w:tcPr>
            <w:tcW w:w="992" w:type="dxa"/>
            <w:tcBorders>
              <w:top w:val="single" w:sz="4" w:space="0" w:color="FFFFFF"/>
            </w:tcBorders>
            <w:shd w:val="clear" w:color="auto" w:fill="F2F2F2" w:themeFill="background1" w:themeFillShade="F2"/>
            <w:hideMark/>
          </w:tcPr>
          <w:p w14:paraId="52B8A500" w14:textId="05FB5D16" w:rsidR="00CA11F7" w:rsidRPr="00FE40D9" w:rsidRDefault="00CA11F7" w:rsidP="0014174E">
            <w:pPr>
              <w:pStyle w:val="Vahedeta"/>
              <w:jc w:val="center"/>
            </w:pPr>
            <w:r w:rsidRPr="00DF1E13">
              <w:t>−0,075</w:t>
            </w:r>
          </w:p>
        </w:tc>
        <w:tc>
          <w:tcPr>
            <w:tcW w:w="992" w:type="dxa"/>
            <w:tcBorders>
              <w:top w:val="single" w:sz="4" w:space="0" w:color="FFFFFF"/>
            </w:tcBorders>
            <w:shd w:val="clear" w:color="auto" w:fill="F2F2F2" w:themeFill="background1" w:themeFillShade="F2"/>
          </w:tcPr>
          <w:p w14:paraId="48E8967F" w14:textId="325A4CCF" w:rsidR="00CA11F7" w:rsidRPr="00FE40D9" w:rsidRDefault="00CA11F7" w:rsidP="0014174E">
            <w:pPr>
              <w:pStyle w:val="Vahedeta"/>
              <w:jc w:val="center"/>
            </w:pPr>
            <w:r w:rsidRPr="00DF1E13">
              <w:t>−50</w:t>
            </w:r>
          </w:p>
        </w:tc>
        <w:tc>
          <w:tcPr>
            <w:tcW w:w="1134" w:type="dxa"/>
            <w:tcBorders>
              <w:top w:val="single" w:sz="4" w:space="0" w:color="FFFFFF"/>
            </w:tcBorders>
            <w:shd w:val="clear" w:color="auto" w:fill="F2F2F2" w:themeFill="background1" w:themeFillShade="F2"/>
            <w:hideMark/>
          </w:tcPr>
          <w:p w14:paraId="40E13853" w14:textId="77777777" w:rsidR="00CA11F7" w:rsidRPr="00FE40D9" w:rsidRDefault="00CA11F7" w:rsidP="0014174E">
            <w:pPr>
              <w:pStyle w:val="Vahedeta"/>
              <w:jc w:val="center"/>
            </w:pPr>
            <w:r w:rsidRPr="00DF1E13">
              <w:t xml:space="preserve">−0,037 </w:t>
            </w:r>
            <w:r>
              <w:t xml:space="preserve"> </w:t>
            </w:r>
          </w:p>
        </w:tc>
        <w:tc>
          <w:tcPr>
            <w:tcW w:w="990" w:type="dxa"/>
            <w:tcBorders>
              <w:top w:val="single" w:sz="4" w:space="0" w:color="FFFFFF"/>
            </w:tcBorders>
            <w:shd w:val="clear" w:color="auto" w:fill="F2F2F2" w:themeFill="background1" w:themeFillShade="F2"/>
          </w:tcPr>
          <w:p w14:paraId="1DE2532A" w14:textId="1B3A9FBF" w:rsidR="00CA11F7" w:rsidRPr="00FE40D9" w:rsidRDefault="00CA11F7" w:rsidP="0014174E">
            <w:pPr>
              <w:pStyle w:val="Vahedeta"/>
              <w:jc w:val="center"/>
            </w:pPr>
            <w:r w:rsidRPr="00DF1E13">
              <w:t>−42</w:t>
            </w:r>
            <w:r>
              <w:t xml:space="preserve">  </w:t>
            </w:r>
          </w:p>
        </w:tc>
        <w:tc>
          <w:tcPr>
            <w:tcW w:w="1061" w:type="dxa"/>
            <w:tcBorders>
              <w:top w:val="single" w:sz="4" w:space="0" w:color="FFFFFF"/>
              <w:right w:val="single" w:sz="4" w:space="0" w:color="FFFFFF"/>
            </w:tcBorders>
            <w:shd w:val="clear" w:color="auto" w:fill="F2F2F2" w:themeFill="background1" w:themeFillShade="F2"/>
            <w:hideMark/>
          </w:tcPr>
          <w:p w14:paraId="3C9907D4" w14:textId="77777777" w:rsidR="00CA11F7" w:rsidRPr="00FE40D9" w:rsidRDefault="00CA11F7" w:rsidP="0014174E">
            <w:pPr>
              <w:pStyle w:val="Vahedeta"/>
              <w:jc w:val="center"/>
            </w:pPr>
            <w:r w:rsidRPr="00DF1E13">
              <w:t xml:space="preserve">−0,020 </w:t>
            </w:r>
          </w:p>
        </w:tc>
        <w:tc>
          <w:tcPr>
            <w:tcW w:w="1061" w:type="dxa"/>
            <w:tcBorders>
              <w:top w:val="single" w:sz="4" w:space="0" w:color="FFFFFF"/>
              <w:right w:val="single" w:sz="4" w:space="0" w:color="FFFFFF"/>
            </w:tcBorders>
            <w:shd w:val="clear" w:color="auto" w:fill="F2F2F2" w:themeFill="background1" w:themeFillShade="F2"/>
          </w:tcPr>
          <w:p w14:paraId="0E9D419C" w14:textId="55CE1ADE" w:rsidR="00CA11F7" w:rsidRPr="00FE40D9" w:rsidRDefault="00CA11F7" w:rsidP="0014174E">
            <w:pPr>
              <w:pStyle w:val="Vahedeta"/>
              <w:jc w:val="center"/>
            </w:pPr>
            <w:r w:rsidRPr="00DF1E13">
              <w:t>−28</w:t>
            </w:r>
          </w:p>
        </w:tc>
      </w:tr>
      <w:tr w:rsidR="00CA11F7" w:rsidRPr="00FE40D9" w14:paraId="0CA7B111" w14:textId="77777777" w:rsidTr="00CA11F7">
        <w:trPr>
          <w:trHeight w:val="332"/>
        </w:trPr>
        <w:tc>
          <w:tcPr>
            <w:tcW w:w="3114" w:type="dxa"/>
            <w:tcBorders>
              <w:left w:val="single" w:sz="4" w:space="0" w:color="FFFFFF"/>
            </w:tcBorders>
            <w:hideMark/>
          </w:tcPr>
          <w:p w14:paraId="65A8D8CF" w14:textId="53273EFB" w:rsidR="00CA11F7" w:rsidRPr="00FE40D9" w:rsidRDefault="00CA11F7" w:rsidP="0014174E">
            <w:pPr>
              <w:pStyle w:val="Vahedeta"/>
            </w:pPr>
            <w:r w:rsidRPr="00DF1E13">
              <w:t>II (kohapealne pesu), n</w:t>
            </w:r>
            <w:r>
              <w:t xml:space="preserve"> </w:t>
            </w:r>
            <w:r w:rsidRPr="00DF1E13">
              <w:t>=</w:t>
            </w:r>
            <w:r>
              <w:t xml:space="preserve"> </w:t>
            </w:r>
            <w:r w:rsidRPr="00DF1E13">
              <w:t>75</w:t>
            </w:r>
          </w:p>
        </w:tc>
        <w:tc>
          <w:tcPr>
            <w:tcW w:w="992" w:type="dxa"/>
            <w:hideMark/>
          </w:tcPr>
          <w:p w14:paraId="5D76CA1D" w14:textId="68C11ED9" w:rsidR="00CA11F7" w:rsidRPr="00FE40D9" w:rsidRDefault="00CA11F7" w:rsidP="0014174E">
            <w:pPr>
              <w:pStyle w:val="Vahedeta"/>
              <w:jc w:val="center"/>
            </w:pPr>
            <w:r w:rsidRPr="00DF1E13">
              <w:t xml:space="preserve">−0,087 </w:t>
            </w:r>
            <w:r>
              <w:t xml:space="preserve"> </w:t>
            </w:r>
          </w:p>
        </w:tc>
        <w:tc>
          <w:tcPr>
            <w:tcW w:w="992" w:type="dxa"/>
          </w:tcPr>
          <w:p w14:paraId="199263B4" w14:textId="53C9633E" w:rsidR="00CA11F7" w:rsidRPr="00FE40D9" w:rsidRDefault="00CA11F7" w:rsidP="0014174E">
            <w:pPr>
              <w:pStyle w:val="Vahedeta"/>
              <w:jc w:val="center"/>
            </w:pPr>
            <w:r w:rsidRPr="00DF1E13">
              <w:t>−58</w:t>
            </w:r>
            <w:r>
              <w:t xml:space="preserve">  </w:t>
            </w:r>
          </w:p>
        </w:tc>
        <w:tc>
          <w:tcPr>
            <w:tcW w:w="1134" w:type="dxa"/>
            <w:hideMark/>
          </w:tcPr>
          <w:p w14:paraId="213C4330" w14:textId="2225C5C4" w:rsidR="00CA11F7" w:rsidRPr="00FE40D9" w:rsidRDefault="00CA11F7" w:rsidP="0014174E">
            <w:pPr>
              <w:pStyle w:val="Vahedeta"/>
              <w:jc w:val="center"/>
            </w:pPr>
            <w:r w:rsidRPr="00DF1E13">
              <w:t xml:space="preserve">−0,044 </w:t>
            </w:r>
            <w:r>
              <w:t xml:space="preserve"> </w:t>
            </w:r>
          </w:p>
        </w:tc>
        <w:tc>
          <w:tcPr>
            <w:tcW w:w="990" w:type="dxa"/>
          </w:tcPr>
          <w:p w14:paraId="2007B673" w14:textId="4C010C43" w:rsidR="00CA11F7" w:rsidRPr="00FE40D9" w:rsidRDefault="00CA11F7" w:rsidP="0014174E">
            <w:pPr>
              <w:pStyle w:val="Vahedeta"/>
              <w:jc w:val="center"/>
            </w:pPr>
            <w:r w:rsidRPr="00DF1E13">
              <w:t>−49</w:t>
            </w:r>
            <w:r>
              <w:t xml:space="preserve">  </w:t>
            </w:r>
          </w:p>
        </w:tc>
        <w:tc>
          <w:tcPr>
            <w:tcW w:w="1061" w:type="dxa"/>
            <w:tcBorders>
              <w:right w:val="single" w:sz="4" w:space="0" w:color="FFFFFF"/>
            </w:tcBorders>
            <w:hideMark/>
          </w:tcPr>
          <w:p w14:paraId="5DA6B0C7" w14:textId="79F19EC7" w:rsidR="00CA11F7" w:rsidRPr="00FE40D9" w:rsidRDefault="00CA11F7" w:rsidP="0014174E">
            <w:pPr>
              <w:pStyle w:val="Vahedeta"/>
              <w:jc w:val="center"/>
            </w:pPr>
            <w:r w:rsidRPr="00DF1E13">
              <w:t xml:space="preserve">−0,027 </w:t>
            </w:r>
            <w:r>
              <w:t xml:space="preserve"> </w:t>
            </w:r>
          </w:p>
        </w:tc>
        <w:tc>
          <w:tcPr>
            <w:tcW w:w="1061" w:type="dxa"/>
            <w:tcBorders>
              <w:right w:val="single" w:sz="4" w:space="0" w:color="FFFFFF"/>
            </w:tcBorders>
          </w:tcPr>
          <w:p w14:paraId="62EF2D3F" w14:textId="456540D0" w:rsidR="00CA11F7" w:rsidRPr="00FE40D9" w:rsidRDefault="00CA11F7" w:rsidP="0014174E">
            <w:pPr>
              <w:pStyle w:val="Vahedeta"/>
              <w:jc w:val="center"/>
            </w:pPr>
            <w:r w:rsidRPr="00DF1E13">
              <w:t>−38</w:t>
            </w:r>
            <w:r>
              <w:t xml:space="preserve">  </w:t>
            </w:r>
          </w:p>
        </w:tc>
      </w:tr>
      <w:tr w:rsidR="00CA11F7" w:rsidRPr="00FE40D9" w14:paraId="0A51B335" w14:textId="77777777" w:rsidTr="00CA11F7">
        <w:trPr>
          <w:trHeight w:val="332"/>
        </w:trPr>
        <w:tc>
          <w:tcPr>
            <w:tcW w:w="3114" w:type="dxa"/>
            <w:tcBorders>
              <w:left w:val="single" w:sz="4" w:space="0" w:color="FFFFFF"/>
            </w:tcBorders>
            <w:shd w:val="clear" w:color="auto" w:fill="F2F2F2" w:themeFill="background1" w:themeFillShade="F2"/>
            <w:hideMark/>
          </w:tcPr>
          <w:p w14:paraId="1840913A" w14:textId="00322EE1" w:rsidR="00CA11F7" w:rsidRPr="00FE40D9" w:rsidRDefault="00CA11F7" w:rsidP="0014174E">
            <w:pPr>
              <w:pStyle w:val="Vahedeta"/>
            </w:pPr>
            <w:r w:rsidRPr="00DF1E13">
              <w:t>III (tsentraalne pesu), n</w:t>
            </w:r>
            <w:r>
              <w:t xml:space="preserve"> </w:t>
            </w:r>
            <w:r w:rsidRPr="00DF1E13">
              <w:t>=</w:t>
            </w:r>
            <w:r>
              <w:t xml:space="preserve"> </w:t>
            </w:r>
            <w:r w:rsidRPr="00DF1E13">
              <w:t>50</w:t>
            </w:r>
          </w:p>
        </w:tc>
        <w:tc>
          <w:tcPr>
            <w:tcW w:w="992" w:type="dxa"/>
            <w:shd w:val="clear" w:color="auto" w:fill="F2F2F2" w:themeFill="background1" w:themeFillShade="F2"/>
            <w:hideMark/>
          </w:tcPr>
          <w:p w14:paraId="1E0BA16D" w14:textId="149B285F" w:rsidR="00CA11F7" w:rsidRPr="00FE40D9" w:rsidRDefault="00CA11F7" w:rsidP="0014174E">
            <w:pPr>
              <w:pStyle w:val="Vahedeta"/>
              <w:jc w:val="center"/>
            </w:pPr>
            <w:r w:rsidRPr="00DF1E13">
              <w:t xml:space="preserve">+0,075 </w:t>
            </w:r>
            <w:r>
              <w:t xml:space="preserve"> </w:t>
            </w:r>
          </w:p>
        </w:tc>
        <w:tc>
          <w:tcPr>
            <w:tcW w:w="992" w:type="dxa"/>
            <w:shd w:val="clear" w:color="auto" w:fill="F2F2F2" w:themeFill="background1" w:themeFillShade="F2"/>
          </w:tcPr>
          <w:p w14:paraId="00100C75" w14:textId="1F6889D3" w:rsidR="00CA11F7" w:rsidRPr="00FE40D9" w:rsidRDefault="00CA11F7" w:rsidP="0014174E">
            <w:pPr>
              <w:pStyle w:val="Vahedeta"/>
              <w:jc w:val="center"/>
            </w:pPr>
            <w:r w:rsidRPr="00DF1E13">
              <w:t>+50</w:t>
            </w:r>
            <w:r>
              <w:t xml:space="preserve">  </w:t>
            </w:r>
          </w:p>
        </w:tc>
        <w:tc>
          <w:tcPr>
            <w:tcW w:w="1134" w:type="dxa"/>
            <w:shd w:val="clear" w:color="auto" w:fill="F2F2F2" w:themeFill="background1" w:themeFillShade="F2"/>
            <w:hideMark/>
          </w:tcPr>
          <w:p w14:paraId="6DC25459" w14:textId="7DD4D6DB" w:rsidR="00CA11F7" w:rsidRPr="00FE40D9" w:rsidRDefault="00CA11F7" w:rsidP="0014174E">
            <w:pPr>
              <w:pStyle w:val="Vahedeta"/>
              <w:jc w:val="center"/>
            </w:pPr>
            <w:r w:rsidRPr="00DF1E13">
              <w:t xml:space="preserve">+0,122 </w:t>
            </w:r>
            <w:r>
              <w:t xml:space="preserve"> </w:t>
            </w:r>
          </w:p>
        </w:tc>
        <w:tc>
          <w:tcPr>
            <w:tcW w:w="990" w:type="dxa"/>
            <w:shd w:val="clear" w:color="auto" w:fill="F2F2F2" w:themeFill="background1" w:themeFillShade="F2"/>
          </w:tcPr>
          <w:p w14:paraId="02BA8254" w14:textId="69439D19" w:rsidR="00CA11F7" w:rsidRPr="00FE40D9" w:rsidRDefault="00CA11F7" w:rsidP="0014174E">
            <w:pPr>
              <w:pStyle w:val="Vahedeta"/>
              <w:jc w:val="center"/>
            </w:pPr>
            <w:r w:rsidRPr="00DF1E13">
              <w:t>+137</w:t>
            </w:r>
            <w:r>
              <w:t xml:space="preserve">  </w:t>
            </w:r>
          </w:p>
        </w:tc>
        <w:tc>
          <w:tcPr>
            <w:tcW w:w="1061" w:type="dxa"/>
            <w:tcBorders>
              <w:right w:val="single" w:sz="4" w:space="0" w:color="FFFFFF"/>
            </w:tcBorders>
            <w:shd w:val="clear" w:color="auto" w:fill="F2F2F2" w:themeFill="background1" w:themeFillShade="F2"/>
            <w:hideMark/>
          </w:tcPr>
          <w:p w14:paraId="135E8677" w14:textId="1CFEED0C" w:rsidR="00CA11F7" w:rsidRPr="00FE40D9" w:rsidRDefault="00CA11F7" w:rsidP="0014174E">
            <w:pPr>
              <w:pStyle w:val="Vahedeta"/>
              <w:jc w:val="center"/>
            </w:pPr>
            <w:r w:rsidRPr="00DF1E13">
              <w:t xml:space="preserve">+0,005 </w:t>
            </w:r>
            <w:r>
              <w:t xml:space="preserve"> </w:t>
            </w:r>
          </w:p>
        </w:tc>
        <w:tc>
          <w:tcPr>
            <w:tcW w:w="1061" w:type="dxa"/>
            <w:tcBorders>
              <w:right w:val="single" w:sz="4" w:space="0" w:color="FFFFFF"/>
            </w:tcBorders>
            <w:shd w:val="clear" w:color="auto" w:fill="F2F2F2" w:themeFill="background1" w:themeFillShade="F2"/>
          </w:tcPr>
          <w:p w14:paraId="48268F3B" w14:textId="63CACBA2" w:rsidR="00CA11F7" w:rsidRPr="00FE40D9" w:rsidRDefault="00CA11F7" w:rsidP="0014174E">
            <w:pPr>
              <w:pStyle w:val="Vahedeta"/>
              <w:jc w:val="center"/>
            </w:pPr>
            <w:r w:rsidRPr="00DF1E13">
              <w:t>+7</w:t>
            </w:r>
            <w:r>
              <w:t xml:space="preserve">  </w:t>
            </w:r>
          </w:p>
        </w:tc>
      </w:tr>
      <w:tr w:rsidR="00CA11F7" w:rsidRPr="00FE40D9" w14:paraId="136118D7" w14:textId="77777777" w:rsidTr="00CA11F7">
        <w:trPr>
          <w:trHeight w:val="332"/>
        </w:trPr>
        <w:tc>
          <w:tcPr>
            <w:tcW w:w="3114" w:type="dxa"/>
            <w:tcBorders>
              <w:left w:val="single" w:sz="4" w:space="0" w:color="FFFFFF"/>
            </w:tcBorders>
            <w:hideMark/>
          </w:tcPr>
          <w:p w14:paraId="7B54A150" w14:textId="648368E7" w:rsidR="00CA11F7" w:rsidRPr="00FE40D9" w:rsidRDefault="00CA11F7" w:rsidP="0014174E">
            <w:pPr>
              <w:pStyle w:val="Vahedeta"/>
            </w:pPr>
            <w:r w:rsidRPr="00DF1E13">
              <w:t>III (tsentraalne pesu), n</w:t>
            </w:r>
            <w:r>
              <w:t xml:space="preserve"> </w:t>
            </w:r>
            <w:r w:rsidRPr="00DF1E13">
              <w:t>=</w:t>
            </w:r>
            <w:r>
              <w:t xml:space="preserve"> </w:t>
            </w:r>
            <w:r w:rsidRPr="00DF1E13">
              <w:t>75</w:t>
            </w:r>
          </w:p>
        </w:tc>
        <w:tc>
          <w:tcPr>
            <w:tcW w:w="992" w:type="dxa"/>
            <w:hideMark/>
          </w:tcPr>
          <w:p w14:paraId="6B265A80" w14:textId="005631C9" w:rsidR="00CA11F7" w:rsidRPr="00FE40D9" w:rsidRDefault="00CA11F7" w:rsidP="0014174E">
            <w:pPr>
              <w:pStyle w:val="Vahedeta"/>
              <w:jc w:val="center"/>
            </w:pPr>
            <w:r w:rsidRPr="00DF1E13">
              <w:t xml:space="preserve">+0,063 </w:t>
            </w:r>
            <w:r>
              <w:t xml:space="preserve"> </w:t>
            </w:r>
          </w:p>
        </w:tc>
        <w:tc>
          <w:tcPr>
            <w:tcW w:w="992" w:type="dxa"/>
          </w:tcPr>
          <w:p w14:paraId="78BD6894" w14:textId="05C09D40" w:rsidR="00CA11F7" w:rsidRPr="00FE40D9" w:rsidRDefault="00CA11F7" w:rsidP="0014174E">
            <w:pPr>
              <w:pStyle w:val="Vahedeta"/>
              <w:jc w:val="center"/>
            </w:pPr>
            <w:r w:rsidRPr="00DF1E13">
              <w:t>+42</w:t>
            </w:r>
            <w:r>
              <w:t xml:space="preserve">  </w:t>
            </w:r>
          </w:p>
        </w:tc>
        <w:tc>
          <w:tcPr>
            <w:tcW w:w="1134" w:type="dxa"/>
            <w:hideMark/>
          </w:tcPr>
          <w:p w14:paraId="5A722C6E" w14:textId="65501FAA" w:rsidR="00CA11F7" w:rsidRPr="00FE40D9" w:rsidRDefault="00CA11F7" w:rsidP="0014174E">
            <w:pPr>
              <w:pStyle w:val="Vahedeta"/>
              <w:jc w:val="center"/>
            </w:pPr>
            <w:r w:rsidRPr="00DF1E13">
              <w:t xml:space="preserve">+0,115 </w:t>
            </w:r>
            <w:r>
              <w:t xml:space="preserve"> </w:t>
            </w:r>
          </w:p>
        </w:tc>
        <w:tc>
          <w:tcPr>
            <w:tcW w:w="990" w:type="dxa"/>
          </w:tcPr>
          <w:p w14:paraId="1561F2F9" w14:textId="4DDB9925" w:rsidR="00CA11F7" w:rsidRPr="00FE40D9" w:rsidRDefault="00CA11F7" w:rsidP="0014174E">
            <w:pPr>
              <w:pStyle w:val="Vahedeta"/>
              <w:jc w:val="center"/>
            </w:pPr>
            <w:r w:rsidRPr="00DF1E13">
              <w:t>+129</w:t>
            </w:r>
            <w:r>
              <w:t xml:space="preserve">  </w:t>
            </w:r>
          </w:p>
        </w:tc>
        <w:tc>
          <w:tcPr>
            <w:tcW w:w="1061" w:type="dxa"/>
            <w:tcBorders>
              <w:right w:val="single" w:sz="4" w:space="0" w:color="FFFFFF"/>
            </w:tcBorders>
            <w:hideMark/>
          </w:tcPr>
          <w:p w14:paraId="3522B385" w14:textId="255C5B8F" w:rsidR="00CA11F7" w:rsidRPr="00FE40D9" w:rsidRDefault="00CA11F7" w:rsidP="0014174E">
            <w:pPr>
              <w:pStyle w:val="Vahedeta"/>
              <w:jc w:val="center"/>
            </w:pPr>
            <w:r w:rsidRPr="00DF1E13">
              <w:t xml:space="preserve">−0,002 </w:t>
            </w:r>
            <w:r>
              <w:t xml:space="preserve"> </w:t>
            </w:r>
          </w:p>
        </w:tc>
        <w:tc>
          <w:tcPr>
            <w:tcW w:w="1061" w:type="dxa"/>
            <w:tcBorders>
              <w:right w:val="single" w:sz="4" w:space="0" w:color="FFFFFF"/>
            </w:tcBorders>
          </w:tcPr>
          <w:p w14:paraId="69B30203" w14:textId="63314B06" w:rsidR="00CA11F7" w:rsidRPr="00FE40D9" w:rsidRDefault="00CA11F7" w:rsidP="0014174E">
            <w:pPr>
              <w:pStyle w:val="Vahedeta"/>
              <w:jc w:val="center"/>
            </w:pPr>
            <w:r w:rsidRPr="00DF1E13">
              <w:t>−3</w:t>
            </w:r>
            <w:r>
              <w:t xml:space="preserve">  </w:t>
            </w:r>
          </w:p>
        </w:tc>
      </w:tr>
      <w:tr w:rsidR="00CA11F7" w:rsidRPr="00FE40D9" w14:paraId="4A857DED" w14:textId="77777777" w:rsidTr="00CA11F7">
        <w:trPr>
          <w:trHeight w:val="332"/>
        </w:trPr>
        <w:tc>
          <w:tcPr>
            <w:tcW w:w="3114" w:type="dxa"/>
            <w:tcBorders>
              <w:left w:val="single" w:sz="4" w:space="0" w:color="FFFFFF"/>
            </w:tcBorders>
            <w:shd w:val="clear" w:color="auto" w:fill="F2F2F2" w:themeFill="background1" w:themeFillShade="F2"/>
            <w:hideMark/>
          </w:tcPr>
          <w:p w14:paraId="0F02AB3A" w14:textId="47D8CCE4" w:rsidR="00CA11F7" w:rsidRPr="00FE40D9" w:rsidRDefault="00CA11F7" w:rsidP="0014174E">
            <w:pPr>
              <w:pStyle w:val="Vahedeta"/>
            </w:pPr>
            <w:r w:rsidRPr="00DF1E13">
              <w:t xml:space="preserve">IV (täisteenus), </w:t>
            </w:r>
            <w:proofErr w:type="spellStart"/>
            <w:r w:rsidRPr="00DF1E13">
              <w:t>max</w:t>
            </w:r>
            <w:proofErr w:type="spellEnd"/>
          </w:p>
        </w:tc>
        <w:tc>
          <w:tcPr>
            <w:tcW w:w="992" w:type="dxa"/>
            <w:shd w:val="clear" w:color="auto" w:fill="F2F2F2" w:themeFill="background1" w:themeFillShade="F2"/>
            <w:hideMark/>
          </w:tcPr>
          <w:p w14:paraId="4D2F5FB8" w14:textId="4CA28DB6" w:rsidR="00CA11F7" w:rsidRPr="00FE40D9" w:rsidRDefault="00CA11F7" w:rsidP="0014174E">
            <w:pPr>
              <w:pStyle w:val="Vahedeta"/>
              <w:jc w:val="center"/>
            </w:pPr>
            <w:r w:rsidRPr="00DF1E13">
              <w:t xml:space="preserve">+0,140 </w:t>
            </w:r>
            <w:r>
              <w:t xml:space="preserve"> </w:t>
            </w:r>
          </w:p>
        </w:tc>
        <w:tc>
          <w:tcPr>
            <w:tcW w:w="992" w:type="dxa"/>
            <w:shd w:val="clear" w:color="auto" w:fill="F2F2F2" w:themeFill="background1" w:themeFillShade="F2"/>
          </w:tcPr>
          <w:p w14:paraId="746F8F9B" w14:textId="13235AAF" w:rsidR="00CA11F7" w:rsidRPr="00FE40D9" w:rsidRDefault="00CA11F7" w:rsidP="0014174E">
            <w:pPr>
              <w:pStyle w:val="Vahedeta"/>
              <w:jc w:val="center"/>
            </w:pPr>
            <w:r w:rsidRPr="00DF1E13">
              <w:t>+93</w:t>
            </w:r>
            <w:r>
              <w:t xml:space="preserve">  </w:t>
            </w:r>
          </w:p>
        </w:tc>
        <w:tc>
          <w:tcPr>
            <w:tcW w:w="1134" w:type="dxa"/>
            <w:shd w:val="clear" w:color="auto" w:fill="F2F2F2" w:themeFill="background1" w:themeFillShade="F2"/>
            <w:hideMark/>
          </w:tcPr>
          <w:p w14:paraId="408274E0" w14:textId="6D27950C" w:rsidR="00CA11F7" w:rsidRPr="00FE40D9" w:rsidRDefault="00CA11F7" w:rsidP="0014174E">
            <w:pPr>
              <w:pStyle w:val="Vahedeta"/>
              <w:jc w:val="center"/>
            </w:pPr>
            <w:r w:rsidRPr="00DF1E13">
              <w:t xml:space="preserve">+0,201 </w:t>
            </w:r>
            <w:r>
              <w:t xml:space="preserve"> </w:t>
            </w:r>
          </w:p>
        </w:tc>
        <w:tc>
          <w:tcPr>
            <w:tcW w:w="990" w:type="dxa"/>
            <w:shd w:val="clear" w:color="auto" w:fill="F2F2F2" w:themeFill="background1" w:themeFillShade="F2"/>
          </w:tcPr>
          <w:p w14:paraId="76E52EB5" w14:textId="228DDB35" w:rsidR="00CA11F7" w:rsidRPr="00FE40D9" w:rsidRDefault="00CA11F7" w:rsidP="0014174E">
            <w:pPr>
              <w:pStyle w:val="Vahedeta"/>
              <w:jc w:val="center"/>
            </w:pPr>
            <w:r w:rsidRPr="00DF1E13">
              <w:t>+226</w:t>
            </w:r>
            <w:r>
              <w:t xml:space="preserve">  </w:t>
            </w:r>
          </w:p>
        </w:tc>
        <w:tc>
          <w:tcPr>
            <w:tcW w:w="1061" w:type="dxa"/>
            <w:tcBorders>
              <w:right w:val="single" w:sz="4" w:space="0" w:color="FFFFFF"/>
            </w:tcBorders>
            <w:shd w:val="clear" w:color="auto" w:fill="F2F2F2" w:themeFill="background1" w:themeFillShade="F2"/>
            <w:hideMark/>
          </w:tcPr>
          <w:p w14:paraId="73BF1C08" w14:textId="26BF7185" w:rsidR="00CA11F7" w:rsidRPr="00FE40D9" w:rsidRDefault="00CA11F7" w:rsidP="0014174E">
            <w:pPr>
              <w:pStyle w:val="Vahedeta"/>
              <w:jc w:val="center"/>
            </w:pPr>
            <w:r w:rsidRPr="00DF1E13">
              <w:t xml:space="preserve">+0,218 </w:t>
            </w:r>
            <w:r>
              <w:t xml:space="preserve"> </w:t>
            </w:r>
          </w:p>
        </w:tc>
        <w:tc>
          <w:tcPr>
            <w:tcW w:w="1061" w:type="dxa"/>
            <w:tcBorders>
              <w:right w:val="single" w:sz="4" w:space="0" w:color="FFFFFF"/>
            </w:tcBorders>
            <w:shd w:val="clear" w:color="auto" w:fill="F2F2F2" w:themeFill="background1" w:themeFillShade="F2"/>
          </w:tcPr>
          <w:p w14:paraId="513DCA44" w14:textId="1972B444" w:rsidR="00CA11F7" w:rsidRPr="00FE40D9" w:rsidRDefault="00CA11F7" w:rsidP="0014174E">
            <w:pPr>
              <w:pStyle w:val="Vahedeta"/>
              <w:jc w:val="center"/>
            </w:pPr>
            <w:r w:rsidRPr="00DF1E13">
              <w:t>+303</w:t>
            </w:r>
            <w:r>
              <w:t xml:space="preserve">  </w:t>
            </w:r>
          </w:p>
        </w:tc>
      </w:tr>
      <w:tr w:rsidR="00CA11F7" w:rsidRPr="00FE40D9" w14:paraId="0543195B" w14:textId="77777777" w:rsidTr="00CA11F7">
        <w:trPr>
          <w:trHeight w:val="332"/>
        </w:trPr>
        <w:tc>
          <w:tcPr>
            <w:tcW w:w="3114" w:type="dxa"/>
            <w:tcBorders>
              <w:left w:val="single" w:sz="4" w:space="0" w:color="FFFFFF"/>
            </w:tcBorders>
          </w:tcPr>
          <w:p w14:paraId="606BB706" w14:textId="30EA87AF" w:rsidR="00CA11F7" w:rsidRPr="00FE40D9" w:rsidRDefault="00CA11F7" w:rsidP="0014174E">
            <w:pPr>
              <w:pStyle w:val="Vahedeta"/>
            </w:pPr>
            <w:r w:rsidRPr="00DF1E13">
              <w:t>IV (täisteenus), min</w:t>
            </w:r>
          </w:p>
        </w:tc>
        <w:tc>
          <w:tcPr>
            <w:tcW w:w="992" w:type="dxa"/>
          </w:tcPr>
          <w:p w14:paraId="71167D94" w14:textId="29E5A407" w:rsidR="00CA11F7" w:rsidRPr="00FE40D9" w:rsidRDefault="00CA11F7" w:rsidP="0014174E">
            <w:pPr>
              <w:pStyle w:val="Vahedeta"/>
              <w:jc w:val="center"/>
            </w:pPr>
            <w:r w:rsidRPr="00DF1E13">
              <w:t xml:space="preserve">+0,008 </w:t>
            </w:r>
            <w:r>
              <w:t xml:space="preserve"> </w:t>
            </w:r>
          </w:p>
        </w:tc>
        <w:tc>
          <w:tcPr>
            <w:tcW w:w="992" w:type="dxa"/>
          </w:tcPr>
          <w:p w14:paraId="1F59522D" w14:textId="69D26DA4" w:rsidR="00CA11F7" w:rsidRPr="00FE40D9" w:rsidRDefault="00CA11F7" w:rsidP="0014174E">
            <w:pPr>
              <w:pStyle w:val="Vahedeta"/>
              <w:jc w:val="center"/>
            </w:pPr>
            <w:r w:rsidRPr="00DF1E13">
              <w:t>+5</w:t>
            </w:r>
            <w:r>
              <w:t xml:space="preserve">  </w:t>
            </w:r>
          </w:p>
        </w:tc>
        <w:tc>
          <w:tcPr>
            <w:tcW w:w="1134" w:type="dxa"/>
          </w:tcPr>
          <w:p w14:paraId="247D2164" w14:textId="24417872" w:rsidR="00CA11F7" w:rsidRPr="00FE40D9" w:rsidRDefault="00CA11F7" w:rsidP="0014174E">
            <w:pPr>
              <w:pStyle w:val="Vahedeta"/>
              <w:jc w:val="center"/>
            </w:pPr>
            <w:r w:rsidRPr="00DF1E13">
              <w:t xml:space="preserve">+0,069 </w:t>
            </w:r>
            <w:r>
              <w:t xml:space="preserve"> </w:t>
            </w:r>
          </w:p>
        </w:tc>
        <w:tc>
          <w:tcPr>
            <w:tcW w:w="990" w:type="dxa"/>
          </w:tcPr>
          <w:p w14:paraId="40B23887" w14:textId="7EB68155" w:rsidR="00CA11F7" w:rsidRPr="00FE40D9" w:rsidRDefault="00CA11F7" w:rsidP="0014174E">
            <w:pPr>
              <w:pStyle w:val="Vahedeta"/>
              <w:jc w:val="center"/>
            </w:pPr>
            <w:r w:rsidRPr="00DF1E13">
              <w:t>+78</w:t>
            </w:r>
            <w:r>
              <w:t xml:space="preserve">  </w:t>
            </w:r>
          </w:p>
        </w:tc>
        <w:tc>
          <w:tcPr>
            <w:tcW w:w="1061" w:type="dxa"/>
            <w:tcBorders>
              <w:right w:val="single" w:sz="4" w:space="0" w:color="FFFFFF"/>
            </w:tcBorders>
          </w:tcPr>
          <w:p w14:paraId="1FCCC48A" w14:textId="740D1C5D" w:rsidR="00CA11F7" w:rsidRPr="00FE40D9" w:rsidRDefault="00CA11F7" w:rsidP="0014174E">
            <w:pPr>
              <w:pStyle w:val="Vahedeta"/>
              <w:jc w:val="center"/>
            </w:pPr>
            <w:r w:rsidRPr="00DF1E13">
              <w:t xml:space="preserve">+0,086 </w:t>
            </w:r>
            <w:r>
              <w:t xml:space="preserve"> </w:t>
            </w:r>
          </w:p>
        </w:tc>
        <w:tc>
          <w:tcPr>
            <w:tcW w:w="1061" w:type="dxa"/>
            <w:tcBorders>
              <w:right w:val="single" w:sz="4" w:space="0" w:color="FFFFFF"/>
            </w:tcBorders>
          </w:tcPr>
          <w:p w14:paraId="102F6505" w14:textId="3606195E" w:rsidR="00CA11F7" w:rsidRPr="00FE40D9" w:rsidRDefault="00CA11F7" w:rsidP="0014174E">
            <w:pPr>
              <w:pStyle w:val="Vahedeta"/>
              <w:jc w:val="center"/>
            </w:pPr>
            <w:r w:rsidRPr="00DF1E13">
              <w:t>+119</w:t>
            </w:r>
            <w:r>
              <w:t xml:space="preserve">  </w:t>
            </w:r>
          </w:p>
        </w:tc>
      </w:tr>
    </w:tbl>
    <w:p w14:paraId="0AAC8D05" w14:textId="4192DE52" w:rsidR="005175DB" w:rsidRDefault="005175DB" w:rsidP="00CA11F7">
      <w:pPr>
        <w:pStyle w:val="Allikas"/>
        <w:jc w:val="left"/>
      </w:pPr>
      <w:r>
        <w:t>Allikas: autori arvutused</w:t>
      </w:r>
      <w:r w:rsidR="00CA11F7">
        <w:br/>
      </w:r>
      <w:r w:rsidR="00CA11F7" w:rsidRPr="00CA11F7">
        <w:t xml:space="preserve">Märkus: positiivne väärtus (+) tähistab </w:t>
      </w:r>
      <w:proofErr w:type="spellStart"/>
      <w:r w:rsidR="00CA11F7" w:rsidRPr="00CA11F7">
        <w:t>BAU-ga</w:t>
      </w:r>
      <w:proofErr w:type="spellEnd"/>
      <w:r w:rsidR="00CA11F7" w:rsidRPr="00CA11F7">
        <w:t xml:space="preserve"> võrreldes lisakulu ja võimalikku hinnasurvet; negatiivne väärtus (−) tähistab </w:t>
      </w:r>
      <w:proofErr w:type="spellStart"/>
      <w:r w:rsidR="00CA11F7" w:rsidRPr="00CA11F7">
        <w:t>BAU-ga</w:t>
      </w:r>
      <w:proofErr w:type="spellEnd"/>
      <w:r w:rsidR="00CA11F7" w:rsidRPr="00CA11F7">
        <w:t xml:space="preserve"> võrreldes kulusäästu.</w:t>
      </w:r>
    </w:p>
    <w:p w14:paraId="7669AF1B" w14:textId="3E21244E" w:rsidR="00C6470D" w:rsidRDefault="00C6470D" w:rsidP="00C6470D">
      <w:r>
        <w:t xml:space="preserve">Teenus3 puhul on BAU ühikukulu 0,072 eurot kasutuskorra kohta. Kui pakendi eluiga on 50 kasutuskorda, on II stsenaariumi ühikukulu 0,052 eurot. See on </w:t>
      </w:r>
      <w:proofErr w:type="spellStart"/>
      <w:r>
        <w:t>BAU-st</w:t>
      </w:r>
      <w:proofErr w:type="spellEnd"/>
      <w:r>
        <w:t xml:space="preserve"> 0,020 eurot madalam ehk 28% väiksem. Kui eluiga pikeneb 75 kasutuskorrani, väheneb II ühikukulu 0,045 euroni. Sel juhul on vahe </w:t>
      </w:r>
      <w:proofErr w:type="spellStart"/>
      <w:r>
        <w:t>BAU-ga</w:t>
      </w:r>
      <w:proofErr w:type="spellEnd"/>
      <w:r>
        <w:t xml:space="preserve"> võrreldes −0,027 eurot ehk −38%. III stsenaariumis on ühikukulu 50 kasutuskorra korral 0,077 eurot. See on </w:t>
      </w:r>
      <w:proofErr w:type="spellStart"/>
      <w:r>
        <w:t>BAU-st</w:t>
      </w:r>
      <w:proofErr w:type="spellEnd"/>
      <w:r>
        <w:t xml:space="preserve"> 0,005 eurot kõrgem ehk 7% suurem. Kui eluiga pikeneb 75 kasutuskorrani, väheneb ühikukulu 0,070 euroni. Siis on see </w:t>
      </w:r>
      <w:proofErr w:type="spellStart"/>
      <w:r>
        <w:t>BAU-st</w:t>
      </w:r>
      <w:proofErr w:type="spellEnd"/>
      <w:r>
        <w:t xml:space="preserve"> 0,002 eurot madalam ehk 3% väiksem. See tähendab, et Teenus3 puhul jõuab III stsenaarium pikema eluea eelduse korral BAU tasemest veidi soodsama tulemuseni. IV stsenaariumis sõltub tulemus teenuse hinnatasemest. Maksimumhinna korral on ühikukulu 0,290 eurot kasutuskorra kohta. See on </w:t>
      </w:r>
      <w:proofErr w:type="spellStart"/>
      <w:r>
        <w:t>BAU</w:t>
      </w:r>
      <w:r w:rsidR="00CA11F7">
        <w:t>-</w:t>
      </w:r>
      <w:r>
        <w:t>st</w:t>
      </w:r>
      <w:proofErr w:type="spellEnd"/>
      <w:r>
        <w:t xml:space="preserve"> 0,218 eurot kõrgem ehk +303%. Miinimumhinna korral on ühikukulu 0,158 eurot. See on </w:t>
      </w:r>
      <w:proofErr w:type="spellStart"/>
      <w:r>
        <w:t>BAU-st</w:t>
      </w:r>
      <w:proofErr w:type="spellEnd"/>
      <w:r>
        <w:t xml:space="preserve"> 0,086 eurot kõrgem ehk +119%. Teenus3 puhul jääb täisteenus ka madalama hinna korral selgelt kallimaks kui BAU, II ja III stsenaarium. (Tabel 6)</w:t>
      </w:r>
    </w:p>
    <w:p w14:paraId="602EAFF0" w14:textId="6E7B22F0" w:rsidR="00FE40D9" w:rsidRPr="00896F59" w:rsidRDefault="00C6470D" w:rsidP="00896F59">
      <w:r w:rsidRPr="00C6470D">
        <w:t xml:space="preserve">Tabel 6 põhjal avaldab tarbijahinnale kõige suuremat potentsiaalset mõju IV stsenaarium, sest selle ühikukulu ületab </w:t>
      </w:r>
      <w:proofErr w:type="spellStart"/>
      <w:r w:rsidRPr="00C6470D">
        <w:t>BAU-d</w:t>
      </w:r>
      <w:proofErr w:type="spellEnd"/>
      <w:r w:rsidRPr="00C6470D">
        <w:t xml:space="preserve"> kõige rohkem. Kõige väiksema hinnasurvega on II stsenaarium, mille ühikukulu jääb kõigis teenustes </w:t>
      </w:r>
      <w:proofErr w:type="spellStart"/>
      <w:r w:rsidRPr="00C6470D">
        <w:t>BAU-st</w:t>
      </w:r>
      <w:proofErr w:type="spellEnd"/>
      <w:r w:rsidRPr="00C6470D">
        <w:t xml:space="preserve"> madalamaks. III stsenaarium jääb nende vahele: Teenus1 ja Teenus2 puhul tähendab see lisakulu, kuid Teenus3 puhul võib pikema eluea eelduse korral ühikukulu langeda BAU tasemest veidi madalamale. Seega sõltub võimalik mõju tarbijahinnale kõige rohkem valitud rakendusmudelist ja IV stsenaariumi puhul ka teenustasu hinnatasemest.</w:t>
      </w:r>
      <w:r w:rsidR="005175DB">
        <w:t xml:space="preserve"> </w:t>
      </w:r>
    </w:p>
    <w:p w14:paraId="7371C72E" w14:textId="47275781" w:rsidR="00540AA4" w:rsidRPr="00871866" w:rsidRDefault="00540AA4" w:rsidP="00663E9A">
      <w:pPr>
        <w:pStyle w:val="Pealkiri3"/>
        <w:numPr>
          <w:ilvl w:val="2"/>
          <w:numId w:val="28"/>
        </w:numPr>
      </w:pPr>
      <w:bookmarkStart w:id="11" w:name="_Toc228177588"/>
      <w:r w:rsidRPr="00871866">
        <w:t>Tundlikkusanalüüs</w:t>
      </w:r>
      <w:bookmarkEnd w:id="11"/>
    </w:p>
    <w:p w14:paraId="3722E85F" w14:textId="55DCBBB2" w:rsidR="00102739" w:rsidRDefault="0029782C" w:rsidP="00540AA4">
      <w:r>
        <w:t>J</w:t>
      </w:r>
      <w:r w:rsidRPr="0029782C">
        <w:t>ärgnevalt vaadeldakse, millised parameetrid mõjutavad NPV-d eri stsenaariumites kõige rohkem. Selleks järjestati parameetrid mõju tugevuse järgi, hinnates, kui palju parameetri 1% muutus NPV-d suurendab või vähendab. Mõju tugevust väljendati absoluutse elastsusena (e = |ΔNPV| / 1%). Elastsus näitab, millised üksikud parameetrid mõjutavad NPV-d kõige rohkem. Tasuvuspiir näitab, kui suur peaks olema ühe parameetri muutus, et NPV jõuaks nullini eeldusel, et kõik teised sisendid jäävad samaks. Seda näitajat tuleb tõlgendada ettevaatlikult, sest see ei kirjelda realistlikku mitme teguri koosmõju. Eriti selgelt negatiivse NPV-</w:t>
      </w:r>
      <w:proofErr w:type="spellStart"/>
      <w:r w:rsidRPr="0029782C">
        <w:t>ga</w:t>
      </w:r>
      <w:proofErr w:type="spellEnd"/>
      <w:r w:rsidRPr="0029782C">
        <w:t xml:space="preserve"> stsenaariumite puhul sõltub tasuvus enamasti mitme </w:t>
      </w:r>
      <w:r w:rsidRPr="0029782C">
        <w:lastRenderedPageBreak/>
        <w:t xml:space="preserve">eelduse samaaegsest paranemisest, mitte ühe parameetri üksikust muutusest. Parameetrid jaotati ebakindluse järgi nelja rühma (A–D), lähtudes sellest, kas tegu on lepingulise või arvepõhise näitaja, turu- või protsessikulu, hinnangulise projektikulu või käitumisest sõltuva teguriga </w:t>
      </w:r>
      <w:r w:rsidR="00102739" w:rsidRPr="00102739">
        <w:t>(Lisa 3).</w:t>
      </w:r>
    </w:p>
    <w:p w14:paraId="4CD6E97B" w14:textId="2CFC5374" w:rsidR="00067E19" w:rsidRDefault="00067E19" w:rsidP="00067E19">
      <w:r>
        <w:t xml:space="preserve">Koondtabelist joonistub välja selge riskiprofiili muster rakendusmudelite lõikes. </w:t>
      </w:r>
      <w:r w:rsidRPr="00A3324B">
        <w:t xml:space="preserve">Kohapealse pesu </w:t>
      </w:r>
      <w:r w:rsidR="0029782C">
        <w:t>stsenaariumis</w:t>
      </w:r>
      <w:r w:rsidRPr="00A3324B">
        <w:t xml:space="preserve"> (II) mõjutab NPV-d kõige enam kordusnõude </w:t>
      </w:r>
      <w:r w:rsidRPr="00067E19">
        <w:t xml:space="preserve">kasutusiga ja asendamise vajadus, mida kirjeldab parameeter „pakendite asenduskulu eluea lõpus“. </w:t>
      </w:r>
      <w:r w:rsidR="0029782C">
        <w:t>Tasuvuspiir</w:t>
      </w:r>
      <w:r w:rsidRPr="00067E19">
        <w:t xml:space="preserve"> </w:t>
      </w:r>
      <w:r w:rsidR="0029782C">
        <w:t xml:space="preserve">on </w:t>
      </w:r>
      <w:r w:rsidRPr="00067E19">
        <w:t>Teenus1 puhu</w:t>
      </w:r>
      <w:r w:rsidR="0029782C">
        <w:t>l</w:t>
      </w:r>
      <w:r w:rsidRPr="00067E19">
        <w:t xml:space="preserve"> ligikaudu 1</w:t>
      </w:r>
      <w:r w:rsidR="0029782C">
        <w:t>71</w:t>
      </w:r>
      <w:r w:rsidRPr="00067E19">
        <w:t xml:space="preserve">% (asenduskulu peaks </w:t>
      </w:r>
      <w:r w:rsidR="0029782C">
        <w:t>suurenema u 2,7 korda</w:t>
      </w:r>
      <w:r w:rsidRPr="00067E19">
        <w:t xml:space="preserve">, et NPV muutuks nulliks), kuid Teenus2 ja Teenus3 puhul on </w:t>
      </w:r>
      <w:r w:rsidR="0029782C">
        <w:t>tasuvuspiir</w:t>
      </w:r>
      <w:r w:rsidRPr="00067E19">
        <w:t xml:space="preserve"> väiksem (</w:t>
      </w:r>
      <w:r w:rsidR="0029782C">
        <w:t>73</w:t>
      </w:r>
      <w:r w:rsidRPr="00067E19">
        <w:t xml:space="preserve">% ja </w:t>
      </w:r>
      <w:r w:rsidR="0029782C">
        <w:t>74</w:t>
      </w:r>
      <w:r w:rsidRPr="00067E19">
        <w:t xml:space="preserve">%). See tähendab, et Teenus2 ja Teenus3 korral võib II </w:t>
      </w:r>
      <w:r w:rsidR="0029782C">
        <w:t>stsenaariumis</w:t>
      </w:r>
      <w:r w:rsidRPr="00067E19">
        <w:t xml:space="preserve"> tasuvus ebasoodsamate eelduste (nt suurem kadu/purunemine või lühem eluiga, mis tõstab asenduskulu kasutuskorrale) puhul varem kaduda, </w:t>
      </w:r>
      <w:r w:rsidR="00F57BD3" w:rsidRPr="00F57BD3">
        <w:t>näiteks siis, kui kadu või purunemine on suurem või pakendi eluiga lühem, mistõttu asenduskulu kasutuskorra kohta suureneb</w:t>
      </w:r>
      <w:r w:rsidRPr="00067E19">
        <w:t xml:space="preserve">. (Tabel </w:t>
      </w:r>
      <w:r w:rsidR="008133B0">
        <w:t>7</w:t>
      </w:r>
      <w:r w:rsidRPr="00067E19">
        <w:t>)</w:t>
      </w:r>
    </w:p>
    <w:p w14:paraId="213871B8" w14:textId="75835097" w:rsidR="007355D9" w:rsidRPr="00D60920" w:rsidRDefault="007355D9" w:rsidP="007355D9">
      <w:r w:rsidRPr="00A3324B">
        <w:t xml:space="preserve">Teiseks ja kolmandaks NPV-d enim mõjutavaks teguriks (II stsenaariumis) osutuvad pesuprotsessi muutuvkulud (nt pesuvahend) ning tööjõu ja hoolduse kulu. Teenus1 puhul on nende parameetrite </w:t>
      </w:r>
      <w:r w:rsidR="00F57BD3">
        <w:t>tasuvuspiirid</w:t>
      </w:r>
      <w:r w:rsidRPr="00A3324B">
        <w:t xml:space="preserve"> suhteliselt suured, mistõttu üksikkomponendi mõõdukas hinnakõikumine ei ole tõenäoliselt piisav, et viia NPV nulli või muuta järeldust (NPV märki).</w:t>
      </w:r>
      <w:r>
        <w:t xml:space="preserve"> </w:t>
      </w:r>
      <w:r w:rsidRPr="00067E19">
        <w:t xml:space="preserve">(Tabel </w:t>
      </w:r>
      <w:r w:rsidR="008133B0">
        <w:t>7</w:t>
      </w:r>
      <w:r w:rsidRPr="00067E19">
        <w:t>)</w:t>
      </w:r>
    </w:p>
    <w:p w14:paraId="6BC7FDA2" w14:textId="2AA55A25" w:rsidR="00BF2C72" w:rsidRDefault="007D7B24" w:rsidP="00067E19">
      <w:pPr>
        <w:pStyle w:val="Vahedeta"/>
      </w:pPr>
      <w:r w:rsidRPr="00067E19">
        <w:rPr>
          <w:b/>
          <w:bCs/>
        </w:rPr>
        <w:t>Tabel</w:t>
      </w:r>
      <w:r w:rsidR="007C384F">
        <w:rPr>
          <w:b/>
          <w:bCs/>
        </w:rPr>
        <w:t xml:space="preserve"> </w:t>
      </w:r>
      <w:r w:rsidR="008133B0">
        <w:rPr>
          <w:b/>
          <w:bCs/>
        </w:rPr>
        <w:t>7</w:t>
      </w:r>
      <w:r w:rsidRPr="00067E19">
        <w:rPr>
          <w:b/>
          <w:bCs/>
        </w:rPr>
        <w:t>.</w:t>
      </w:r>
      <w:r>
        <w:t xml:space="preserve"> </w:t>
      </w:r>
      <w:r w:rsidR="00067E19">
        <w:t>Enim NPV-d mõjutavad võtmeparameetrid ettevõtete ja stsenaariumite lõikes</w:t>
      </w:r>
      <w:r w:rsidR="00C87A18">
        <w:t>:</w:t>
      </w:r>
      <w:r w:rsidR="00067E19">
        <w:t xml:space="preserve"> elastsus, </w:t>
      </w:r>
      <w:r w:rsidR="00D71EAA">
        <w:t>tasuvuspiir</w:t>
      </w:r>
    </w:p>
    <w:tbl>
      <w:tblPr>
        <w:tblStyle w:val="Tabelilaad"/>
        <w:tblW w:w="0" w:type="auto"/>
        <w:tblLook w:val="04A0" w:firstRow="1" w:lastRow="0" w:firstColumn="1" w:lastColumn="0" w:noHBand="0" w:noVBand="1"/>
      </w:tblPr>
      <w:tblGrid>
        <w:gridCol w:w="1153"/>
        <w:gridCol w:w="2795"/>
        <w:gridCol w:w="2700"/>
        <w:gridCol w:w="2706"/>
      </w:tblGrid>
      <w:tr w:rsidR="00067E19" w14:paraId="339FE752" w14:textId="77777777" w:rsidTr="00067E19">
        <w:trPr>
          <w:cnfStyle w:val="100000000000" w:firstRow="1" w:lastRow="0" w:firstColumn="0" w:lastColumn="0" w:oddVBand="0" w:evenVBand="0" w:oddHBand="0" w:evenHBand="0" w:firstRowFirstColumn="0" w:firstRowLastColumn="0" w:lastRowFirstColumn="0" w:lastRowLastColumn="0"/>
        </w:trPr>
        <w:tc>
          <w:tcPr>
            <w:tcW w:w="1296" w:type="dxa"/>
          </w:tcPr>
          <w:p w14:paraId="725A1A8C" w14:textId="77777777" w:rsidR="00067E19" w:rsidRDefault="00067E19" w:rsidP="00BA7EA5">
            <w:r>
              <w:rPr>
                <w:sz w:val="20"/>
              </w:rPr>
              <w:t>Teenus</w:t>
            </w:r>
          </w:p>
        </w:tc>
        <w:tc>
          <w:tcPr>
            <w:tcW w:w="3456" w:type="dxa"/>
            <w:gridSpan w:val="3"/>
          </w:tcPr>
          <w:p w14:paraId="05B95FE1" w14:textId="3DF94C5D" w:rsidR="00067E19" w:rsidRDefault="00067E19" w:rsidP="00067E19">
            <w:pPr>
              <w:jc w:val="center"/>
            </w:pPr>
            <w:r>
              <w:rPr>
                <w:sz w:val="20"/>
              </w:rPr>
              <w:t xml:space="preserve">Võtmeparameetrid (elastsus; </w:t>
            </w:r>
            <w:r w:rsidR="00D71EAA">
              <w:rPr>
                <w:sz w:val="20"/>
              </w:rPr>
              <w:t>tasuvuspiir</w:t>
            </w:r>
            <w:r>
              <w:rPr>
                <w:sz w:val="20"/>
              </w:rPr>
              <w:t xml:space="preserve"> NPV=0)</w:t>
            </w:r>
          </w:p>
        </w:tc>
      </w:tr>
      <w:tr w:rsidR="00067E19" w14:paraId="76FDD687" w14:textId="77777777" w:rsidTr="00067E19">
        <w:tc>
          <w:tcPr>
            <w:tcW w:w="1296" w:type="dxa"/>
            <w:shd w:val="clear" w:color="auto" w:fill="0070C0"/>
          </w:tcPr>
          <w:p w14:paraId="187A118E" w14:textId="77777777" w:rsidR="00067E19" w:rsidRPr="00067E19" w:rsidRDefault="00067E19" w:rsidP="00BA7EA5">
            <w:pPr>
              <w:rPr>
                <w:b/>
                <w:bCs/>
                <w:color w:val="FFFFFF" w:themeColor="background1"/>
              </w:rPr>
            </w:pPr>
          </w:p>
        </w:tc>
        <w:tc>
          <w:tcPr>
            <w:tcW w:w="3456" w:type="dxa"/>
            <w:shd w:val="clear" w:color="auto" w:fill="0070C0"/>
          </w:tcPr>
          <w:p w14:paraId="1E00231E" w14:textId="77777777" w:rsidR="00067E19" w:rsidRPr="00067E19" w:rsidRDefault="00067E19" w:rsidP="00067E19">
            <w:pPr>
              <w:jc w:val="center"/>
              <w:rPr>
                <w:b/>
                <w:bCs/>
                <w:color w:val="FFFFFF" w:themeColor="background1"/>
              </w:rPr>
            </w:pPr>
            <w:r w:rsidRPr="00067E19">
              <w:rPr>
                <w:b/>
                <w:bCs/>
                <w:color w:val="FFFFFF" w:themeColor="background1"/>
                <w:sz w:val="20"/>
              </w:rPr>
              <w:t>II stsenaarium</w:t>
            </w:r>
          </w:p>
        </w:tc>
        <w:tc>
          <w:tcPr>
            <w:tcW w:w="3456" w:type="dxa"/>
            <w:shd w:val="clear" w:color="auto" w:fill="0070C0"/>
          </w:tcPr>
          <w:p w14:paraId="06500806" w14:textId="77777777" w:rsidR="00067E19" w:rsidRPr="00067E19" w:rsidRDefault="00067E19" w:rsidP="00067E19">
            <w:pPr>
              <w:jc w:val="center"/>
              <w:rPr>
                <w:b/>
                <w:bCs/>
                <w:color w:val="FFFFFF" w:themeColor="background1"/>
              </w:rPr>
            </w:pPr>
            <w:r w:rsidRPr="00067E19">
              <w:rPr>
                <w:b/>
                <w:bCs/>
                <w:color w:val="FFFFFF" w:themeColor="background1"/>
                <w:sz w:val="20"/>
              </w:rPr>
              <w:t>III stsenaarium</w:t>
            </w:r>
          </w:p>
        </w:tc>
        <w:tc>
          <w:tcPr>
            <w:tcW w:w="3456" w:type="dxa"/>
            <w:shd w:val="clear" w:color="auto" w:fill="0070C0"/>
          </w:tcPr>
          <w:p w14:paraId="475084A7" w14:textId="1DB1BDDC" w:rsidR="00067E19" w:rsidRPr="00067E19" w:rsidRDefault="00067E19" w:rsidP="00067E19">
            <w:pPr>
              <w:jc w:val="center"/>
              <w:rPr>
                <w:b/>
                <w:bCs/>
                <w:color w:val="FFFFFF" w:themeColor="background1"/>
              </w:rPr>
            </w:pPr>
            <w:r w:rsidRPr="00067E19">
              <w:rPr>
                <w:b/>
                <w:bCs/>
                <w:color w:val="FFFFFF" w:themeColor="background1"/>
                <w:sz w:val="20"/>
              </w:rPr>
              <w:t>IV stsenaarium</w:t>
            </w:r>
            <w:r w:rsidR="00EE5E81">
              <w:rPr>
                <w:b/>
                <w:bCs/>
                <w:color w:val="FFFFFF" w:themeColor="background1"/>
                <w:sz w:val="20"/>
              </w:rPr>
              <w:t xml:space="preserve">, </w:t>
            </w:r>
            <w:proofErr w:type="spellStart"/>
            <w:r w:rsidR="00EE5E81">
              <w:rPr>
                <w:b/>
                <w:bCs/>
                <w:color w:val="FFFFFF" w:themeColor="background1"/>
                <w:sz w:val="20"/>
              </w:rPr>
              <w:t>max</w:t>
            </w:r>
            <w:proofErr w:type="spellEnd"/>
          </w:p>
        </w:tc>
      </w:tr>
      <w:tr w:rsidR="00067E19" w14:paraId="471280EA" w14:textId="77777777" w:rsidTr="00067E19">
        <w:tc>
          <w:tcPr>
            <w:tcW w:w="1296" w:type="dxa"/>
          </w:tcPr>
          <w:p w14:paraId="031BED69" w14:textId="77777777" w:rsidR="00067E19" w:rsidRDefault="00067E19" w:rsidP="00BA7EA5">
            <w:r>
              <w:rPr>
                <w:sz w:val="20"/>
              </w:rPr>
              <w:t>Teenus1</w:t>
            </w:r>
          </w:p>
        </w:tc>
        <w:tc>
          <w:tcPr>
            <w:tcW w:w="3456" w:type="dxa"/>
          </w:tcPr>
          <w:p w14:paraId="616F8C11" w14:textId="75CE1DC0" w:rsidR="00067E19" w:rsidRDefault="00067E19" w:rsidP="00067E19">
            <w:pPr>
              <w:jc w:val="left"/>
            </w:pPr>
            <w:r>
              <w:rPr>
                <w:sz w:val="20"/>
              </w:rPr>
              <w:t>1) pakendite asenduskulu eluea lõpus (e=</w:t>
            </w:r>
            <w:r w:rsidR="00EE5E81">
              <w:rPr>
                <w:sz w:val="20"/>
              </w:rPr>
              <w:t>0,6</w:t>
            </w:r>
            <w:r>
              <w:rPr>
                <w:sz w:val="20"/>
              </w:rPr>
              <w:t>; k=1</w:t>
            </w:r>
            <w:r w:rsidR="00EE5E81">
              <w:rPr>
                <w:sz w:val="20"/>
              </w:rPr>
              <w:t>71</w:t>
            </w:r>
            <w:r>
              <w:rPr>
                <w:sz w:val="20"/>
              </w:rPr>
              <w:t>%)</w:t>
            </w:r>
            <w:r>
              <w:rPr>
                <w:sz w:val="20"/>
              </w:rPr>
              <w:br/>
              <w:t>2) pesu – pesuvahend (e=0,</w:t>
            </w:r>
            <w:r w:rsidR="00EE5E81">
              <w:rPr>
                <w:sz w:val="20"/>
              </w:rPr>
              <w:t>3</w:t>
            </w:r>
            <w:r>
              <w:rPr>
                <w:sz w:val="20"/>
              </w:rPr>
              <w:t>; k=</w:t>
            </w:r>
            <w:r w:rsidR="00EE5E81">
              <w:rPr>
                <w:sz w:val="20"/>
              </w:rPr>
              <w:t>390</w:t>
            </w:r>
            <w:r>
              <w:rPr>
                <w:sz w:val="20"/>
              </w:rPr>
              <w:t>%)</w:t>
            </w:r>
            <w:r>
              <w:rPr>
                <w:sz w:val="20"/>
              </w:rPr>
              <w:br/>
              <w:t>3) tööjõud &amp; hooldus (e=0,</w:t>
            </w:r>
            <w:r w:rsidR="00EE5E81">
              <w:rPr>
                <w:sz w:val="20"/>
              </w:rPr>
              <w:t>2</w:t>
            </w:r>
            <w:r>
              <w:rPr>
                <w:sz w:val="20"/>
              </w:rPr>
              <w:t>; k=</w:t>
            </w:r>
            <w:r w:rsidR="00EE5E81">
              <w:rPr>
                <w:sz w:val="20"/>
              </w:rPr>
              <w:t>470</w:t>
            </w:r>
            <w:r>
              <w:rPr>
                <w:sz w:val="20"/>
              </w:rPr>
              <w:t>%)</w:t>
            </w:r>
          </w:p>
        </w:tc>
        <w:tc>
          <w:tcPr>
            <w:tcW w:w="3456" w:type="dxa"/>
          </w:tcPr>
          <w:p w14:paraId="0F5D477D" w14:textId="6192D034" w:rsidR="00067E19" w:rsidRDefault="00067E19" w:rsidP="00067E19">
            <w:pPr>
              <w:jc w:val="left"/>
              <w:rPr>
                <w:sz w:val="20"/>
              </w:rPr>
            </w:pPr>
            <w:r>
              <w:rPr>
                <w:sz w:val="20"/>
              </w:rPr>
              <w:t>1) pesu (vesi; elekter/aur; pesuvahend; tööjõud; hooldus) (e=0,</w:t>
            </w:r>
            <w:r w:rsidR="00EE5E81">
              <w:rPr>
                <w:sz w:val="20"/>
              </w:rPr>
              <w:t>9</w:t>
            </w:r>
            <w:r>
              <w:rPr>
                <w:sz w:val="20"/>
              </w:rPr>
              <w:t>; k=</w:t>
            </w:r>
            <w:r w:rsidR="00EE5E81">
              <w:rPr>
                <w:sz w:val="20"/>
              </w:rPr>
              <w:t>108</w:t>
            </w:r>
            <w:r>
              <w:rPr>
                <w:sz w:val="20"/>
              </w:rPr>
              <w:t>%)</w:t>
            </w:r>
            <w:r>
              <w:rPr>
                <w:sz w:val="20"/>
              </w:rPr>
              <w:br/>
              <w:t>2) logistika (kogumine/vedu) (e=0,5; k=</w:t>
            </w:r>
            <w:r w:rsidR="00EE5E81">
              <w:rPr>
                <w:sz w:val="20"/>
              </w:rPr>
              <w:t>188</w:t>
            </w:r>
            <w:r>
              <w:rPr>
                <w:sz w:val="20"/>
              </w:rPr>
              <w:t>%)</w:t>
            </w:r>
            <w:r>
              <w:rPr>
                <w:sz w:val="20"/>
              </w:rPr>
              <w:br/>
              <w:t>3) pakendite asenduskulu eluea lõpus (e=0,3; k=3</w:t>
            </w:r>
            <w:r w:rsidR="00EE5E81">
              <w:rPr>
                <w:sz w:val="20"/>
              </w:rPr>
              <w:t>44</w:t>
            </w:r>
            <w:r>
              <w:rPr>
                <w:sz w:val="20"/>
              </w:rPr>
              <w:t>%)</w:t>
            </w:r>
          </w:p>
          <w:p w14:paraId="088C52B1" w14:textId="77777777" w:rsidR="001E0CC8" w:rsidRDefault="001E0CC8" w:rsidP="00067E19">
            <w:pPr>
              <w:jc w:val="left"/>
            </w:pPr>
          </w:p>
        </w:tc>
        <w:tc>
          <w:tcPr>
            <w:tcW w:w="3456" w:type="dxa"/>
          </w:tcPr>
          <w:p w14:paraId="0A4D0055" w14:textId="5DB2425F" w:rsidR="00067E19" w:rsidRDefault="00067E19" w:rsidP="00067E19">
            <w:pPr>
              <w:jc w:val="left"/>
            </w:pPr>
            <w:r>
              <w:rPr>
                <w:sz w:val="20"/>
              </w:rPr>
              <w:t>1) teenustasu (eur</w:t>
            </w:r>
            <w:r w:rsidR="00611DB7">
              <w:rPr>
                <w:sz w:val="20"/>
              </w:rPr>
              <w:t>ot</w:t>
            </w:r>
            <w:r>
              <w:rPr>
                <w:sz w:val="20"/>
              </w:rPr>
              <w:t xml:space="preserve">/serveering * </w:t>
            </w:r>
            <w:proofErr w:type="spellStart"/>
            <w:r>
              <w:rPr>
                <w:sz w:val="20"/>
              </w:rPr>
              <w:t>Qy</w:t>
            </w:r>
            <w:proofErr w:type="spellEnd"/>
            <w:r>
              <w:rPr>
                <w:sz w:val="20"/>
              </w:rPr>
              <w:t>) (e=</w:t>
            </w:r>
            <w:r w:rsidR="00EE5E81">
              <w:rPr>
                <w:sz w:val="20"/>
              </w:rPr>
              <w:t>2,1</w:t>
            </w:r>
            <w:r>
              <w:rPr>
                <w:sz w:val="20"/>
              </w:rPr>
              <w:t>; k=</w:t>
            </w:r>
            <w:r w:rsidR="00EE5E81">
              <w:rPr>
                <w:sz w:val="20"/>
              </w:rPr>
              <w:t>48</w:t>
            </w:r>
            <w:r>
              <w:rPr>
                <w:sz w:val="20"/>
              </w:rPr>
              <w:t>%)</w:t>
            </w:r>
          </w:p>
        </w:tc>
      </w:tr>
      <w:tr w:rsidR="00067E19" w14:paraId="3C1AD345" w14:textId="77777777" w:rsidTr="00067E19">
        <w:tc>
          <w:tcPr>
            <w:tcW w:w="1296" w:type="dxa"/>
          </w:tcPr>
          <w:p w14:paraId="2BE86827" w14:textId="77777777" w:rsidR="00067E19" w:rsidRDefault="00067E19" w:rsidP="00BA7EA5">
            <w:r>
              <w:rPr>
                <w:sz w:val="20"/>
              </w:rPr>
              <w:t>Teenus2</w:t>
            </w:r>
          </w:p>
        </w:tc>
        <w:tc>
          <w:tcPr>
            <w:tcW w:w="3456" w:type="dxa"/>
          </w:tcPr>
          <w:p w14:paraId="0DF05D2A" w14:textId="4BDDC890" w:rsidR="00067E19" w:rsidRDefault="00067E19" w:rsidP="00067E19">
            <w:pPr>
              <w:jc w:val="left"/>
              <w:rPr>
                <w:sz w:val="20"/>
              </w:rPr>
            </w:pPr>
            <w:r>
              <w:rPr>
                <w:sz w:val="20"/>
              </w:rPr>
              <w:t>1) pakendite asenduskulu eluea lõpus (e=</w:t>
            </w:r>
            <w:r w:rsidR="00EE5E81">
              <w:rPr>
                <w:sz w:val="20"/>
              </w:rPr>
              <w:t>1,4</w:t>
            </w:r>
            <w:r>
              <w:rPr>
                <w:sz w:val="20"/>
              </w:rPr>
              <w:t>; k=</w:t>
            </w:r>
            <w:r w:rsidR="00EE5E81">
              <w:rPr>
                <w:sz w:val="20"/>
              </w:rPr>
              <w:t>73</w:t>
            </w:r>
            <w:r>
              <w:rPr>
                <w:sz w:val="20"/>
              </w:rPr>
              <w:t>%)</w:t>
            </w:r>
            <w:r>
              <w:rPr>
                <w:sz w:val="20"/>
              </w:rPr>
              <w:br/>
              <w:t>2) pesu – pesuvahend (e=</w:t>
            </w:r>
            <w:r w:rsidR="00EE5E81">
              <w:rPr>
                <w:sz w:val="20"/>
              </w:rPr>
              <w:t>1,0</w:t>
            </w:r>
            <w:r>
              <w:rPr>
                <w:sz w:val="20"/>
              </w:rPr>
              <w:t>; k=</w:t>
            </w:r>
            <w:r w:rsidR="00EE5E81">
              <w:rPr>
                <w:sz w:val="20"/>
              </w:rPr>
              <w:t>96</w:t>
            </w:r>
            <w:r>
              <w:rPr>
                <w:sz w:val="20"/>
              </w:rPr>
              <w:t>%)</w:t>
            </w:r>
            <w:r>
              <w:rPr>
                <w:sz w:val="20"/>
              </w:rPr>
              <w:br/>
              <w:t>3) Alginvesteering köögipinna ehitus/ümberehitus (kanalisatsioon) (e=</w:t>
            </w:r>
            <w:r w:rsidR="00EE5E81">
              <w:rPr>
                <w:sz w:val="20"/>
              </w:rPr>
              <w:t>0,8</w:t>
            </w:r>
            <w:r>
              <w:rPr>
                <w:sz w:val="20"/>
              </w:rPr>
              <w:t>; k=</w:t>
            </w:r>
            <w:r w:rsidR="00EE5E81">
              <w:rPr>
                <w:sz w:val="20"/>
              </w:rPr>
              <w:t>133</w:t>
            </w:r>
            <w:r>
              <w:rPr>
                <w:sz w:val="20"/>
              </w:rPr>
              <w:t>%)</w:t>
            </w:r>
          </w:p>
          <w:p w14:paraId="5932C230" w14:textId="77777777" w:rsidR="001E0CC8" w:rsidRDefault="001E0CC8" w:rsidP="00067E19">
            <w:pPr>
              <w:jc w:val="left"/>
            </w:pPr>
          </w:p>
        </w:tc>
        <w:tc>
          <w:tcPr>
            <w:tcW w:w="3456" w:type="dxa"/>
          </w:tcPr>
          <w:p w14:paraId="0B50928B" w14:textId="0D89599F" w:rsidR="00067E19" w:rsidRDefault="00067E19" w:rsidP="00067E19">
            <w:pPr>
              <w:jc w:val="left"/>
            </w:pPr>
            <w:r>
              <w:rPr>
                <w:sz w:val="20"/>
              </w:rPr>
              <w:t>1) pesu (vesi; elekter/aur; pesuvahend; tööjõud; hooldus) (e=0,</w:t>
            </w:r>
            <w:r w:rsidR="00EE5E81">
              <w:rPr>
                <w:sz w:val="20"/>
              </w:rPr>
              <w:t>8</w:t>
            </w:r>
            <w:r>
              <w:rPr>
                <w:sz w:val="20"/>
              </w:rPr>
              <w:t>; k=1</w:t>
            </w:r>
            <w:r w:rsidR="00EE5E81">
              <w:rPr>
                <w:sz w:val="20"/>
              </w:rPr>
              <w:t>30</w:t>
            </w:r>
            <w:r>
              <w:rPr>
                <w:sz w:val="20"/>
              </w:rPr>
              <w:t>%)</w:t>
            </w:r>
            <w:r>
              <w:rPr>
                <w:sz w:val="20"/>
              </w:rPr>
              <w:br/>
              <w:t>2) logistika (kogumine/vedu) (e=0,4; k=2</w:t>
            </w:r>
            <w:r w:rsidR="00EE5E81">
              <w:rPr>
                <w:sz w:val="20"/>
              </w:rPr>
              <w:t>28</w:t>
            </w:r>
            <w:r>
              <w:rPr>
                <w:sz w:val="20"/>
              </w:rPr>
              <w:t>%)</w:t>
            </w:r>
            <w:r>
              <w:rPr>
                <w:sz w:val="20"/>
              </w:rPr>
              <w:br/>
              <w:t>3) pakendite asenduskulu eluea lõpus (e=0,1; k=7</w:t>
            </w:r>
            <w:r w:rsidR="00EE5E81">
              <w:rPr>
                <w:sz w:val="20"/>
              </w:rPr>
              <w:t>22</w:t>
            </w:r>
            <w:r>
              <w:rPr>
                <w:sz w:val="20"/>
              </w:rPr>
              <w:t>%)</w:t>
            </w:r>
          </w:p>
        </w:tc>
        <w:tc>
          <w:tcPr>
            <w:tcW w:w="3456" w:type="dxa"/>
          </w:tcPr>
          <w:p w14:paraId="2D128F93" w14:textId="6626B8DC" w:rsidR="00067E19" w:rsidRDefault="00067E19" w:rsidP="00067E19">
            <w:pPr>
              <w:jc w:val="left"/>
            </w:pPr>
            <w:r>
              <w:rPr>
                <w:sz w:val="20"/>
              </w:rPr>
              <w:t>1) teenustasu (eur</w:t>
            </w:r>
            <w:r w:rsidR="00611DB7">
              <w:rPr>
                <w:sz w:val="20"/>
              </w:rPr>
              <w:t>ot</w:t>
            </w:r>
            <w:r>
              <w:rPr>
                <w:sz w:val="20"/>
              </w:rPr>
              <w:t xml:space="preserve">/serveering * </w:t>
            </w:r>
            <w:proofErr w:type="spellStart"/>
            <w:r>
              <w:rPr>
                <w:sz w:val="20"/>
              </w:rPr>
              <w:t>Qy</w:t>
            </w:r>
            <w:proofErr w:type="spellEnd"/>
            <w:r>
              <w:rPr>
                <w:sz w:val="20"/>
              </w:rPr>
              <w:t>) (e=1,4; k=</w:t>
            </w:r>
            <w:r w:rsidR="00EE5E81">
              <w:rPr>
                <w:sz w:val="20"/>
              </w:rPr>
              <w:t>69</w:t>
            </w:r>
            <w:r>
              <w:rPr>
                <w:sz w:val="20"/>
              </w:rPr>
              <w:t>%)</w:t>
            </w:r>
          </w:p>
        </w:tc>
      </w:tr>
      <w:tr w:rsidR="00067E19" w14:paraId="430C604B" w14:textId="77777777" w:rsidTr="00067E19">
        <w:tc>
          <w:tcPr>
            <w:tcW w:w="1296" w:type="dxa"/>
          </w:tcPr>
          <w:p w14:paraId="6C27C1E0" w14:textId="77777777" w:rsidR="00067E19" w:rsidRDefault="00067E19" w:rsidP="00BA7EA5">
            <w:r>
              <w:rPr>
                <w:sz w:val="20"/>
              </w:rPr>
              <w:t>Teenus3</w:t>
            </w:r>
          </w:p>
        </w:tc>
        <w:tc>
          <w:tcPr>
            <w:tcW w:w="3456" w:type="dxa"/>
          </w:tcPr>
          <w:p w14:paraId="4C4596F9" w14:textId="3C92D002" w:rsidR="00067E19" w:rsidRDefault="00067E19" w:rsidP="00067E19">
            <w:pPr>
              <w:jc w:val="left"/>
            </w:pPr>
            <w:r>
              <w:rPr>
                <w:sz w:val="20"/>
              </w:rPr>
              <w:t>1) pakendite asenduskulu eluea lõpus (e=</w:t>
            </w:r>
            <w:r w:rsidR="00EE5E81">
              <w:rPr>
                <w:sz w:val="20"/>
              </w:rPr>
              <w:t>1,4</w:t>
            </w:r>
            <w:r>
              <w:rPr>
                <w:sz w:val="20"/>
              </w:rPr>
              <w:t>; k=</w:t>
            </w:r>
            <w:r w:rsidR="00EE5E81">
              <w:rPr>
                <w:sz w:val="20"/>
              </w:rPr>
              <w:t>74</w:t>
            </w:r>
            <w:r>
              <w:rPr>
                <w:sz w:val="20"/>
              </w:rPr>
              <w:t>%)</w:t>
            </w:r>
            <w:r>
              <w:rPr>
                <w:sz w:val="20"/>
              </w:rPr>
              <w:br/>
              <w:t>2) pesu – pesuvahend (e=</w:t>
            </w:r>
            <w:r w:rsidR="00EE5E81">
              <w:rPr>
                <w:sz w:val="20"/>
              </w:rPr>
              <w:t>1,0</w:t>
            </w:r>
            <w:r>
              <w:rPr>
                <w:sz w:val="20"/>
              </w:rPr>
              <w:t>; k=</w:t>
            </w:r>
            <w:r w:rsidR="00EE5E81">
              <w:rPr>
                <w:sz w:val="20"/>
              </w:rPr>
              <w:t>98</w:t>
            </w:r>
            <w:r>
              <w:rPr>
                <w:sz w:val="20"/>
              </w:rPr>
              <w:t>%)</w:t>
            </w:r>
            <w:r>
              <w:rPr>
                <w:sz w:val="20"/>
              </w:rPr>
              <w:br/>
              <w:t>3) kogumine &amp; sorteerimine (e=</w:t>
            </w:r>
            <w:r w:rsidR="00EE5E81">
              <w:rPr>
                <w:sz w:val="20"/>
              </w:rPr>
              <w:t>0,4</w:t>
            </w:r>
            <w:r>
              <w:rPr>
                <w:sz w:val="20"/>
              </w:rPr>
              <w:t>; k=</w:t>
            </w:r>
            <w:r w:rsidR="00EE5E81">
              <w:rPr>
                <w:sz w:val="20"/>
              </w:rPr>
              <w:t>260</w:t>
            </w:r>
            <w:r>
              <w:rPr>
                <w:sz w:val="20"/>
              </w:rPr>
              <w:t>%)</w:t>
            </w:r>
          </w:p>
        </w:tc>
        <w:tc>
          <w:tcPr>
            <w:tcW w:w="3456" w:type="dxa"/>
          </w:tcPr>
          <w:p w14:paraId="24BDBE2D" w14:textId="013A9D38" w:rsidR="00067E19" w:rsidRDefault="00067E19" w:rsidP="00067E19">
            <w:pPr>
              <w:jc w:val="left"/>
              <w:rPr>
                <w:sz w:val="20"/>
              </w:rPr>
            </w:pPr>
            <w:r>
              <w:rPr>
                <w:sz w:val="20"/>
              </w:rPr>
              <w:t>1) Alginvesteering tsentraalne liin (e=0,</w:t>
            </w:r>
            <w:r w:rsidR="00EE5E81">
              <w:rPr>
                <w:sz w:val="20"/>
              </w:rPr>
              <w:t>2</w:t>
            </w:r>
            <w:r>
              <w:rPr>
                <w:sz w:val="20"/>
              </w:rPr>
              <w:t>; k=</w:t>
            </w:r>
            <w:r w:rsidR="00EE5E81">
              <w:rPr>
                <w:sz w:val="20"/>
              </w:rPr>
              <w:t>467</w:t>
            </w:r>
            <w:r>
              <w:rPr>
                <w:sz w:val="20"/>
              </w:rPr>
              <w:t>%)</w:t>
            </w:r>
            <w:r>
              <w:rPr>
                <w:sz w:val="20"/>
              </w:rPr>
              <w:br/>
              <w:t>2) logistika (kogumine/vedu) (e=0,2; k=</w:t>
            </w:r>
            <w:r w:rsidR="00EE5E81">
              <w:rPr>
                <w:sz w:val="20"/>
              </w:rPr>
              <w:t>489</w:t>
            </w:r>
            <w:r>
              <w:rPr>
                <w:sz w:val="20"/>
              </w:rPr>
              <w:t>%)</w:t>
            </w:r>
            <w:r>
              <w:rPr>
                <w:sz w:val="20"/>
              </w:rPr>
              <w:br/>
              <w:t>3) pakendite asenduskulu eluea lõpus (e=0,2; k=5</w:t>
            </w:r>
            <w:r w:rsidR="00EE5E81">
              <w:rPr>
                <w:sz w:val="20"/>
              </w:rPr>
              <w:t>13</w:t>
            </w:r>
            <w:r>
              <w:rPr>
                <w:sz w:val="20"/>
              </w:rPr>
              <w:t>%)</w:t>
            </w:r>
          </w:p>
          <w:p w14:paraId="1E359785" w14:textId="77777777" w:rsidR="001E0CC8" w:rsidRDefault="001E0CC8" w:rsidP="00067E19">
            <w:pPr>
              <w:jc w:val="left"/>
            </w:pPr>
          </w:p>
        </w:tc>
        <w:tc>
          <w:tcPr>
            <w:tcW w:w="3456" w:type="dxa"/>
          </w:tcPr>
          <w:p w14:paraId="0902949F" w14:textId="5EE1B829" w:rsidR="00067E19" w:rsidRDefault="00067E19" w:rsidP="00067E19">
            <w:pPr>
              <w:jc w:val="left"/>
            </w:pPr>
            <w:r>
              <w:rPr>
                <w:sz w:val="20"/>
              </w:rPr>
              <w:t>1) teenustasu (eur</w:t>
            </w:r>
            <w:r w:rsidR="00611DB7">
              <w:rPr>
                <w:sz w:val="20"/>
              </w:rPr>
              <w:t>ot</w:t>
            </w:r>
            <w:r>
              <w:rPr>
                <w:sz w:val="20"/>
              </w:rPr>
              <w:t xml:space="preserve">/serveering * </w:t>
            </w:r>
            <w:proofErr w:type="spellStart"/>
            <w:r>
              <w:rPr>
                <w:sz w:val="20"/>
              </w:rPr>
              <w:t>Qy</w:t>
            </w:r>
            <w:proofErr w:type="spellEnd"/>
            <w:r>
              <w:rPr>
                <w:sz w:val="20"/>
              </w:rPr>
              <w:t>) (e=1,3; k=7</w:t>
            </w:r>
            <w:r w:rsidR="00EE5E81">
              <w:rPr>
                <w:sz w:val="20"/>
              </w:rPr>
              <w:t>5</w:t>
            </w:r>
            <w:r>
              <w:rPr>
                <w:sz w:val="20"/>
              </w:rPr>
              <w:t>%)</w:t>
            </w:r>
          </w:p>
        </w:tc>
      </w:tr>
    </w:tbl>
    <w:p w14:paraId="4CD6F07E" w14:textId="77777777" w:rsidR="00067E19" w:rsidRDefault="00067E19" w:rsidP="00067E19">
      <w:pPr>
        <w:pStyle w:val="Allikas"/>
      </w:pPr>
      <w:r>
        <w:t>Allikas: autori arvutused</w:t>
      </w:r>
    </w:p>
    <w:p w14:paraId="24B4405F" w14:textId="77777777" w:rsidR="00D60920" w:rsidRDefault="00D60920" w:rsidP="00D60920">
      <w:r w:rsidRPr="00F57BD3">
        <w:t xml:space="preserve">Tsentraalse pesu stsenaariumis (III) mõjutavad Teenus1 ja Teenus2 puhul tulemust kõige rohkem pesu ja logistika. See on kooskõlas nende teenuste teenuspunktide paiknemisega, kuna mõlemal juhul on teenuspunktid hajutatud üle Eesti ning tsentraalse pesu korral muutub </w:t>
      </w:r>
      <w:proofErr w:type="spellStart"/>
      <w:r w:rsidRPr="00F57BD3">
        <w:t>pöördlogistika</w:t>
      </w:r>
      <w:proofErr w:type="spellEnd"/>
      <w:r w:rsidRPr="00F57BD3">
        <w:t xml:space="preserve"> kulukamaks ja keerukamaks. Mõlema teenuse puhul kuulub kolme kõige mõjukama teguri hulka ka pakendite </w:t>
      </w:r>
      <w:r w:rsidRPr="00F57BD3">
        <w:lastRenderedPageBreak/>
        <w:t>asenduskulu eluea lõpus. Teenus3 puhul on mõju jaotus ühtlasem: kõige mõjukamad tegurid on logistika, pakendite asenduskulu eluea lõpus ja pesu. Seda võib selgitada asjaoluga, et Teenus3 teenuspunktid paiknevad ainult Tallinnas ja Tartus, mistõttu on tsentraalse pesu korral logistika lühem ja paremini koondatav kui üle Eesti hajutatud võrgustiku puhul. Seega sõltub III stsenaariumi tulemus kõigi teenuste puhul pesu- ja tagastuslogistika tõhususest, kuid hajusama teenusvõrguga Teenus1 ja Teenus2 puhul on logistiline koormus selgelt suurem</w:t>
      </w:r>
      <w:r>
        <w:t xml:space="preserve">. </w:t>
      </w:r>
      <w:r w:rsidRPr="00067E19">
        <w:t xml:space="preserve">(Tabel </w:t>
      </w:r>
      <w:r>
        <w:t>7</w:t>
      </w:r>
      <w:r w:rsidRPr="00067E19">
        <w:t>)</w:t>
      </w:r>
    </w:p>
    <w:p w14:paraId="24CE9844" w14:textId="321643EB" w:rsidR="00D60920" w:rsidRDefault="00D60920" w:rsidP="00D60920">
      <w:r w:rsidRPr="004F74E9">
        <w:t xml:space="preserve">Täisteenuse </w:t>
      </w:r>
      <w:r>
        <w:t>stsenaariumis</w:t>
      </w:r>
      <w:r w:rsidRPr="004F74E9">
        <w:t xml:space="preserve"> (IV) kujuneb kõigi teenuste puhul peamiseks mõjuteguriks teenustasu, kuna see koondab teenusepaketi põhikulud. </w:t>
      </w:r>
      <w:r>
        <w:t>Väärtused</w:t>
      </w:r>
      <w:r w:rsidRPr="004F74E9">
        <w:t xml:space="preserve"> 53,3%, 72,9% ja 78,2% näitavad, kui suur teenustasu muutus oleks vajalik, et tasuvuspiirini jõuda; seega määrab hinnastamise tase ja tingimused otseselt, kui „lähedal“ või „kaugel“ on IV </w:t>
      </w:r>
      <w:r>
        <w:t>stsenaarium</w:t>
      </w:r>
      <w:r w:rsidRPr="004F74E9">
        <w:t xml:space="preserve"> tasuvuspiirist. Teisisõnu, võrreldes paljude üksikkulude komponentidega võib teenustasu suhteliselt realistlik muutus sagedamini viia NPV märgi vahetumiseni, sest teenustasu on mudelis keskne ja koondunud kuluparameeter.</w:t>
      </w:r>
      <w:r>
        <w:t xml:space="preserve"> </w:t>
      </w:r>
      <w:r w:rsidRPr="00067E19">
        <w:t xml:space="preserve">(Tabel </w:t>
      </w:r>
      <w:r>
        <w:t>7</w:t>
      </w:r>
      <w:r w:rsidRPr="00067E19">
        <w:t>)</w:t>
      </w:r>
    </w:p>
    <w:p w14:paraId="0FB6B910" w14:textId="49B7A1FF" w:rsidR="00281C06" w:rsidRDefault="00CC490A" w:rsidP="00281C06">
      <w:pPr>
        <w:rPr>
          <w:rFonts w:asciiTheme="majorHAnsi" w:hAnsiTheme="majorHAnsi"/>
          <w:sz w:val="24"/>
        </w:rPr>
      </w:pPr>
      <w:r w:rsidRPr="00CC490A">
        <w:t>Käesoleva tundlikkusanalüüsi tulemused on kooskõlas varasema CBA- ja mõjuhinnangute kirjandusega. Korduskasutussüsteemide majanduslikku tulemit kujundavad eeskätt korduvtegevustega seotud kulud, nagu nõudepesu ja tagastuskorralduse toimimine, ning kordusnõude elutsüklikulud, sealhulgas asendamise vajadus. Pikema ringluse korral kasvab transpordi ja logistika osatähtsus ning tulemused sõltuvad üha rohkem sellest, kui tõhusalt on võimalik korraldada pesu-, tagastus- ja veoahel ning kui hästi püsib pakend süsteemis kasutuses</w:t>
      </w:r>
      <w:r w:rsidR="00281C06">
        <w:rPr>
          <w:rFonts w:asciiTheme="majorHAnsi" w:hAnsiTheme="majorHAnsi"/>
          <w:sz w:val="24"/>
        </w:rPr>
        <w:t>.</w:t>
      </w:r>
      <w:r w:rsidR="00281C06">
        <w:rPr>
          <w:rStyle w:val="Allmrkuseviide"/>
          <w:rFonts w:asciiTheme="majorHAnsi" w:hAnsiTheme="majorHAnsi"/>
          <w:sz w:val="24"/>
        </w:rPr>
        <w:footnoteReference w:id="14"/>
      </w:r>
      <w:r w:rsidR="00281C06">
        <w:rPr>
          <w:rFonts w:asciiTheme="majorHAnsi" w:hAnsiTheme="majorHAnsi"/>
          <w:sz w:val="24"/>
        </w:rPr>
        <w:t xml:space="preserve"> </w:t>
      </w:r>
      <w:r w:rsidR="00281C06">
        <w:rPr>
          <w:rStyle w:val="Allmrkuseviide"/>
          <w:rFonts w:asciiTheme="majorHAnsi" w:hAnsiTheme="majorHAnsi"/>
          <w:sz w:val="24"/>
        </w:rPr>
        <w:footnoteReference w:id="15"/>
      </w:r>
      <w:r w:rsidR="00281C06">
        <w:rPr>
          <w:rFonts w:asciiTheme="majorHAnsi" w:hAnsiTheme="majorHAnsi"/>
          <w:sz w:val="24"/>
        </w:rPr>
        <w:t xml:space="preserve"> </w:t>
      </w:r>
      <w:r w:rsidR="00281C06">
        <w:rPr>
          <w:rStyle w:val="Allmrkuseviide"/>
          <w:rFonts w:asciiTheme="majorHAnsi" w:hAnsiTheme="majorHAnsi"/>
          <w:sz w:val="24"/>
        </w:rPr>
        <w:footnoteReference w:id="16"/>
      </w:r>
    </w:p>
    <w:p w14:paraId="6FE6467E" w14:textId="19658A92" w:rsidR="00067E19" w:rsidRPr="00D60920" w:rsidRDefault="00CC490A" w:rsidP="00067E19">
      <w:r w:rsidRPr="00D60920">
        <w:t>Tundlikkusanalüüs näitab, et eri stsenaariumite majanduslik tulemus sõltub erinevat tüüpi võtmeteguritest. Kohapealse pesu stsenaariumis (II) on kõige olulisemad kordusnõude kasutusiga, asendusvajadus ning käitamisega seotud kulud, mistõttu on keskne tagada vastupidavad nõud ja toimiv käsitluskorraldus. Tsentraalse pesu stsenaariumis (III) sõltub tulemus eeskätt pesu- ja logistikakulude tasemest ning sellest, kui tõhusalt on võimalik korraldada tagastus- ja veoahel. Täisteenuse stsenaariumis (IV) on kõige mõjukam tegur teenustasu, sest see koondab ühe hinnaparameetri alla teenuse peamised kulukomponendid. Samas tuleb seda tõlgendada ettevaatlikult, sest eriti selgelt negatiivse NPV-</w:t>
      </w:r>
      <w:proofErr w:type="spellStart"/>
      <w:r w:rsidRPr="00D60920">
        <w:t>ga</w:t>
      </w:r>
      <w:proofErr w:type="spellEnd"/>
      <w:r w:rsidRPr="00D60920">
        <w:t xml:space="preserve"> juhtudel sõltub tasuvuse paranemine enamasti mitme eelduse samaaegsest muutumisest, mitte ainult ühe parameetri üksikust muutusest.</w:t>
      </w:r>
    </w:p>
    <w:p w14:paraId="7865DF0D" w14:textId="77777777" w:rsidR="00CC490A" w:rsidRPr="00067E19" w:rsidRDefault="00CC490A" w:rsidP="00067E19">
      <w:pPr>
        <w:rPr>
          <w:b/>
          <w:bCs/>
        </w:rPr>
      </w:pPr>
    </w:p>
    <w:p w14:paraId="702B4C00" w14:textId="77777777" w:rsidR="00BF2C72" w:rsidRPr="007D7B24" w:rsidRDefault="00BF2C72" w:rsidP="00663E9A">
      <w:pPr>
        <w:pStyle w:val="Pealkiri2"/>
        <w:numPr>
          <w:ilvl w:val="1"/>
          <w:numId w:val="28"/>
        </w:numPr>
      </w:pPr>
      <w:bookmarkStart w:id="12" w:name="_Toc228177589"/>
      <w:r w:rsidRPr="007D7B24">
        <w:t>Rakendatavus ja operatiivsed mõjud</w:t>
      </w:r>
      <w:r w:rsidR="00600F37">
        <w:t xml:space="preserve"> – </w:t>
      </w:r>
      <w:r w:rsidR="00776803">
        <w:t>ettevõtete</w:t>
      </w:r>
      <w:r w:rsidRPr="007D7B24">
        <w:t xml:space="preserve"> kvalitatiivne sisend</w:t>
      </w:r>
      <w:bookmarkEnd w:id="12"/>
    </w:p>
    <w:p w14:paraId="480FA27F" w14:textId="4FB1839E" w:rsidR="007D7B24" w:rsidRDefault="007D7B24" w:rsidP="00B46D57">
      <w:r>
        <w:rPr>
          <w:rFonts w:asciiTheme="majorHAnsi" w:hAnsiTheme="majorHAnsi"/>
          <w:sz w:val="24"/>
        </w:rPr>
        <w:t>Järgnevalt analüüsitakse lisaks kvantitatiivsetele tulemustele ettevõt</w:t>
      </w:r>
      <w:r w:rsidR="00776803">
        <w:rPr>
          <w:rFonts w:asciiTheme="majorHAnsi" w:hAnsiTheme="majorHAnsi"/>
          <w:sz w:val="24"/>
        </w:rPr>
        <w:t>ete</w:t>
      </w:r>
      <w:r w:rsidR="008115B0">
        <w:rPr>
          <w:rFonts w:asciiTheme="majorHAnsi" w:hAnsiTheme="majorHAnsi"/>
          <w:sz w:val="24"/>
        </w:rPr>
        <w:t xml:space="preserve"> esindajate</w:t>
      </w:r>
      <w:r>
        <w:rPr>
          <w:rFonts w:asciiTheme="majorHAnsi" w:hAnsiTheme="majorHAnsi"/>
          <w:sz w:val="24"/>
        </w:rPr>
        <w:t xml:space="preserve"> kvalitatiivset sisendit, aidates selgitada</w:t>
      </w:r>
      <w:r>
        <w:t xml:space="preserve">, millised kulukomponendid tekivad praktikasse ülekandmisel ning millised protsessiriskid võivad mõjutada eeldatud ringlussagedust ja kulusid. </w:t>
      </w:r>
    </w:p>
    <w:p w14:paraId="1AD9BDC7" w14:textId="45997DBD" w:rsidR="007D7B24" w:rsidRDefault="007D7B24" w:rsidP="00B46D57">
      <w:r>
        <w:t>Teenus1, Teenus2 ja</w:t>
      </w:r>
      <w:r w:rsidR="00E732AC">
        <w:t xml:space="preserve"> </w:t>
      </w:r>
      <w:r>
        <w:t xml:space="preserve">Teenus3 </w:t>
      </w:r>
      <w:r w:rsidR="00281C06">
        <w:t>ettevõtete esindajad</w:t>
      </w:r>
      <w:r>
        <w:t xml:space="preserve"> rõhuta</w:t>
      </w:r>
      <w:r w:rsidR="008115B0">
        <w:t>sid</w:t>
      </w:r>
      <w:r>
        <w:t xml:space="preserve"> eeskätt ruumipiiranguid, hügieeninõudeid, tööjõu koormust ning kliendikäitumise ebakindlust.</w:t>
      </w:r>
      <w:r w:rsidR="00281C06">
        <w:t xml:space="preserve"> (Tabel </w:t>
      </w:r>
      <w:r w:rsidR="008133B0">
        <w:t>8</w:t>
      </w:r>
      <w:r w:rsidR="00281C06">
        <w:t>)</w:t>
      </w:r>
    </w:p>
    <w:p w14:paraId="0B000F68" w14:textId="04FED0EA" w:rsidR="00D60920" w:rsidRDefault="00D60920" w:rsidP="00B46D57">
      <w:r>
        <w:lastRenderedPageBreak/>
        <w:t>Teenus1 ettevõtte esindaja hinnangul peab kogumise ja tagastuse korraldus sobituma kliendivoogudega ning et paljudes asukohtades on ruumipuudus peamine piirang – puudub koht nii pesutehnikale kui ka puhaste ja mustade nõude eraldatud ladustamiseks. Samuti toodi välja vajadus selgete tagastuspunktide, märgistuse ning võimaliku pandi- ja IT-lahenduse järele, et vähendada kadu ja suunata kliendikäitumist. (Tabel 8)</w:t>
      </w:r>
    </w:p>
    <w:p w14:paraId="2E523464" w14:textId="1F06B5CA" w:rsidR="007D7B24" w:rsidRDefault="007D7B24" w:rsidP="00871866">
      <w:pPr>
        <w:pStyle w:val="Vahedeta"/>
      </w:pPr>
      <w:r w:rsidRPr="00871866">
        <w:rPr>
          <w:b/>
          <w:bCs/>
        </w:rPr>
        <w:t xml:space="preserve">Tabel </w:t>
      </w:r>
      <w:r w:rsidR="008133B0">
        <w:rPr>
          <w:b/>
          <w:bCs/>
        </w:rPr>
        <w:t>8</w:t>
      </w:r>
      <w:r w:rsidRPr="00871866">
        <w:rPr>
          <w:b/>
          <w:bCs/>
        </w:rPr>
        <w:t>.</w:t>
      </w:r>
      <w:r>
        <w:t xml:space="preserve"> </w:t>
      </w:r>
      <w:r w:rsidRPr="007D7B24">
        <w:t xml:space="preserve">Peamised </w:t>
      </w:r>
      <w:r>
        <w:t xml:space="preserve">kitsaskohad korduskasutusnõude rakendamisel </w:t>
      </w:r>
      <w:r w:rsidR="00C87A18">
        <w:t>teenuste</w:t>
      </w:r>
      <w:r>
        <w:t xml:space="preserve"> lõikes</w:t>
      </w:r>
    </w:p>
    <w:tbl>
      <w:tblPr>
        <w:tblStyle w:val="Tabelilaad"/>
        <w:tblW w:w="0" w:type="auto"/>
        <w:tblLayout w:type="fixed"/>
        <w:tblLook w:val="04A0" w:firstRow="1" w:lastRow="0" w:firstColumn="1" w:lastColumn="0" w:noHBand="0" w:noVBand="1"/>
      </w:tblPr>
      <w:tblGrid>
        <w:gridCol w:w="2268"/>
        <w:gridCol w:w="6521"/>
      </w:tblGrid>
      <w:tr w:rsidR="007D7B24" w:rsidRPr="007D7B24" w14:paraId="320C8CA8" w14:textId="77777777" w:rsidTr="00871866">
        <w:trPr>
          <w:cnfStyle w:val="100000000000" w:firstRow="1" w:lastRow="0" w:firstColumn="0" w:lastColumn="0" w:oddVBand="0" w:evenVBand="0" w:oddHBand="0" w:evenHBand="0" w:firstRowFirstColumn="0" w:firstRowLastColumn="0" w:lastRowFirstColumn="0" w:lastRowLastColumn="0"/>
        </w:trPr>
        <w:tc>
          <w:tcPr>
            <w:tcW w:w="2268" w:type="dxa"/>
          </w:tcPr>
          <w:p w14:paraId="22B0A38A" w14:textId="77777777" w:rsidR="007D7B24" w:rsidRPr="007D7B24" w:rsidRDefault="007D7B24" w:rsidP="003B4DF1">
            <w:pPr>
              <w:rPr>
                <w:sz w:val="20"/>
                <w:szCs w:val="20"/>
              </w:rPr>
            </w:pPr>
            <w:r w:rsidRPr="007D7B24">
              <w:rPr>
                <w:sz w:val="20"/>
                <w:szCs w:val="20"/>
              </w:rPr>
              <w:t>Teenus</w:t>
            </w:r>
          </w:p>
        </w:tc>
        <w:tc>
          <w:tcPr>
            <w:tcW w:w="6521" w:type="dxa"/>
          </w:tcPr>
          <w:p w14:paraId="6D7EBC59" w14:textId="77777777" w:rsidR="007D7B24" w:rsidRPr="007D7B24" w:rsidRDefault="007D7B24" w:rsidP="003B4DF1">
            <w:pPr>
              <w:rPr>
                <w:sz w:val="20"/>
                <w:szCs w:val="20"/>
              </w:rPr>
            </w:pPr>
            <w:r w:rsidRPr="007D7B24">
              <w:rPr>
                <w:sz w:val="20"/>
                <w:szCs w:val="20"/>
              </w:rPr>
              <w:t xml:space="preserve">Peamised </w:t>
            </w:r>
            <w:r>
              <w:rPr>
                <w:sz w:val="20"/>
                <w:szCs w:val="20"/>
              </w:rPr>
              <w:t>kitsaskohad korduskasutusnõude rakendamisel</w:t>
            </w:r>
          </w:p>
        </w:tc>
      </w:tr>
      <w:tr w:rsidR="007D7B24" w:rsidRPr="007D7B24" w14:paraId="7380C800" w14:textId="77777777" w:rsidTr="00871866">
        <w:tc>
          <w:tcPr>
            <w:tcW w:w="2268" w:type="dxa"/>
          </w:tcPr>
          <w:p w14:paraId="267CD948" w14:textId="77777777" w:rsidR="007D7B24" w:rsidRPr="007D7B24" w:rsidRDefault="007D7B24" w:rsidP="003B4DF1">
            <w:pPr>
              <w:rPr>
                <w:sz w:val="20"/>
                <w:szCs w:val="20"/>
              </w:rPr>
            </w:pPr>
            <w:r w:rsidRPr="007D7B24">
              <w:rPr>
                <w:sz w:val="20"/>
                <w:szCs w:val="20"/>
              </w:rPr>
              <w:t xml:space="preserve">Teenus1 </w:t>
            </w:r>
          </w:p>
        </w:tc>
        <w:tc>
          <w:tcPr>
            <w:tcW w:w="6521" w:type="dxa"/>
          </w:tcPr>
          <w:p w14:paraId="1EA8673D" w14:textId="2ACB4D2E" w:rsidR="007D7B24" w:rsidRDefault="00BF1235" w:rsidP="007D7B24">
            <w:pPr>
              <w:jc w:val="left"/>
              <w:rPr>
                <w:sz w:val="20"/>
                <w:szCs w:val="20"/>
              </w:rPr>
            </w:pPr>
            <w:r w:rsidRPr="00BF1235">
              <w:rPr>
                <w:sz w:val="20"/>
                <w:szCs w:val="20"/>
              </w:rPr>
              <w:t>Piiratud ruum nii saalis kui teenindus‑ ja tagaruumi aladel</w:t>
            </w:r>
            <w:r w:rsidR="007D7B24" w:rsidRPr="007D7B24">
              <w:rPr>
                <w:sz w:val="20"/>
                <w:szCs w:val="20"/>
              </w:rPr>
              <w:t>; eraldi puhta ja musta nõude ladustamine; hügieeninõuded; lisatöökoormus ja -kulu; kogumispunkti nähtavus kliendivoogudes; vajadus koostööks pesupartneriga.</w:t>
            </w:r>
          </w:p>
          <w:p w14:paraId="3D8D5EF6" w14:textId="77777777" w:rsidR="007D7B24" w:rsidRPr="007D7B24" w:rsidRDefault="007D7B24" w:rsidP="007D7B24">
            <w:pPr>
              <w:jc w:val="left"/>
              <w:rPr>
                <w:sz w:val="20"/>
                <w:szCs w:val="20"/>
              </w:rPr>
            </w:pPr>
          </w:p>
        </w:tc>
      </w:tr>
      <w:tr w:rsidR="007D7B24" w:rsidRPr="007D7B24" w14:paraId="19218E6F" w14:textId="77777777" w:rsidTr="00871866">
        <w:tc>
          <w:tcPr>
            <w:tcW w:w="2268" w:type="dxa"/>
          </w:tcPr>
          <w:p w14:paraId="2E859087" w14:textId="77777777" w:rsidR="007D7B24" w:rsidRPr="007D7B24" w:rsidRDefault="007D7B24" w:rsidP="003B4DF1">
            <w:pPr>
              <w:rPr>
                <w:sz w:val="20"/>
                <w:szCs w:val="20"/>
              </w:rPr>
            </w:pPr>
            <w:r w:rsidRPr="007D7B24">
              <w:rPr>
                <w:sz w:val="20"/>
                <w:szCs w:val="20"/>
              </w:rPr>
              <w:t xml:space="preserve">Teenus2 </w:t>
            </w:r>
          </w:p>
        </w:tc>
        <w:tc>
          <w:tcPr>
            <w:tcW w:w="6521" w:type="dxa"/>
          </w:tcPr>
          <w:p w14:paraId="55064D81" w14:textId="77777777" w:rsidR="007D7B24" w:rsidRDefault="007D7B24" w:rsidP="001E0CC8">
            <w:pPr>
              <w:jc w:val="left"/>
              <w:rPr>
                <w:sz w:val="20"/>
                <w:szCs w:val="20"/>
              </w:rPr>
            </w:pPr>
            <w:r w:rsidRPr="007D7B24">
              <w:rPr>
                <w:sz w:val="20"/>
                <w:szCs w:val="20"/>
              </w:rPr>
              <w:t>Ettevõtte hinnang on negatiivne senise praktika põhjal: ruumipuudus ja ladustamisprobleemid; lisatööjõu vajadus (sh pandi tagastuse teenindamine); pesuvõimekuse ja kuivatuse piirangud; kasvanud vesi/energia/pesuvahendikulu; nõude kadu ja kulumine; hügieenirisk; kliendirahulolu langus (järjekorrad, ebahügieeni tajumine).</w:t>
            </w:r>
          </w:p>
          <w:p w14:paraId="6DD82C1F" w14:textId="77777777" w:rsidR="001E0CC8" w:rsidRPr="007D7B24" w:rsidRDefault="001E0CC8" w:rsidP="001E0CC8">
            <w:pPr>
              <w:jc w:val="left"/>
              <w:rPr>
                <w:sz w:val="20"/>
                <w:szCs w:val="20"/>
              </w:rPr>
            </w:pPr>
          </w:p>
        </w:tc>
      </w:tr>
      <w:tr w:rsidR="007D7B24" w:rsidRPr="007D7B24" w14:paraId="2ED6A254" w14:textId="77777777" w:rsidTr="00871866">
        <w:tc>
          <w:tcPr>
            <w:tcW w:w="2268" w:type="dxa"/>
          </w:tcPr>
          <w:p w14:paraId="376204D4" w14:textId="77777777" w:rsidR="007D7B24" w:rsidRPr="007D7B24" w:rsidRDefault="007D7B24" w:rsidP="003B4DF1">
            <w:pPr>
              <w:rPr>
                <w:sz w:val="20"/>
                <w:szCs w:val="20"/>
              </w:rPr>
            </w:pPr>
            <w:r w:rsidRPr="007D7B24">
              <w:rPr>
                <w:sz w:val="20"/>
                <w:szCs w:val="20"/>
              </w:rPr>
              <w:t xml:space="preserve">Teenus3 </w:t>
            </w:r>
          </w:p>
        </w:tc>
        <w:tc>
          <w:tcPr>
            <w:tcW w:w="6521" w:type="dxa"/>
          </w:tcPr>
          <w:p w14:paraId="465FFDF3" w14:textId="77777777" w:rsidR="007D7B24" w:rsidRDefault="007D7B24" w:rsidP="007D7B24">
            <w:pPr>
              <w:jc w:val="left"/>
              <w:rPr>
                <w:sz w:val="20"/>
                <w:szCs w:val="20"/>
              </w:rPr>
            </w:pPr>
            <w:r w:rsidRPr="007D7B24">
              <w:rPr>
                <w:sz w:val="20"/>
                <w:szCs w:val="20"/>
              </w:rPr>
              <w:t>Peamine piirang on füüsiline ruum (hoiustamine, töökorraldus); rõhutatakse, et kulud ja tulud on ettevõtte otsustes lahutamatud ning stsenaariumide hindamine peab olema majanduslikult põhjendatud.</w:t>
            </w:r>
          </w:p>
          <w:p w14:paraId="6B9E314F" w14:textId="77777777" w:rsidR="001E0CC8" w:rsidRPr="007D7B24" w:rsidRDefault="001E0CC8" w:rsidP="007D7B24">
            <w:pPr>
              <w:jc w:val="left"/>
              <w:rPr>
                <w:sz w:val="20"/>
                <w:szCs w:val="20"/>
              </w:rPr>
            </w:pPr>
          </w:p>
        </w:tc>
      </w:tr>
    </w:tbl>
    <w:p w14:paraId="7B1E4974" w14:textId="77777777" w:rsidR="007D7B24" w:rsidRDefault="00281C06" w:rsidP="00281C06">
      <w:pPr>
        <w:pStyle w:val="Allikas"/>
      </w:pPr>
      <w:r>
        <w:t>Allikas: küsimustiku tulemused</w:t>
      </w:r>
    </w:p>
    <w:p w14:paraId="731A26C8" w14:textId="3AE153B1" w:rsidR="007D7B24" w:rsidRDefault="007D7B24" w:rsidP="007D7B24">
      <w:r>
        <w:t xml:space="preserve">Teenus2 </w:t>
      </w:r>
      <w:r w:rsidR="00281C06">
        <w:t xml:space="preserve">ettevõtte esindaja </w:t>
      </w:r>
      <w:r>
        <w:t>o</w:t>
      </w:r>
      <w:r w:rsidR="008115B0">
        <w:t>li</w:t>
      </w:r>
      <w:r>
        <w:t xml:space="preserve"> sisendites eriti kriitiline ning tugine</w:t>
      </w:r>
      <w:r w:rsidR="008115B0">
        <w:t>s</w:t>
      </w:r>
      <w:r>
        <w:t xml:space="preserve"> varasemale praktikakogemusele ürituse</w:t>
      </w:r>
      <w:r w:rsidR="00035E75">
        <w:t xml:space="preserve"> </w:t>
      </w:r>
      <w:r>
        <w:t>kontekstis, kus korduskasutus o</w:t>
      </w:r>
      <w:r w:rsidR="008115B0">
        <w:t>li</w:t>
      </w:r>
      <w:r>
        <w:t xml:space="preserve"> toonud kaasa ajakulu, segaduse tagastuses ja arvestuses, ruumipuuduse ning vajaduse täiendava tööjõu järele pandi tagastuse teenindamisel. Täiendavalt rõhutat</w:t>
      </w:r>
      <w:r w:rsidR="008115B0">
        <w:t>i</w:t>
      </w:r>
      <w:r>
        <w:t xml:space="preserve"> riski, et osa kliente ei tagasta pakendeid (või loobub pandist) ja viskab need prügisse, mis vähendab süsteemi rotatsioonide arvu ja suurendab asendusvajadust</w:t>
      </w:r>
      <w:r w:rsidR="00E732AC">
        <w:t>.</w:t>
      </w:r>
      <w:r w:rsidR="00281C06">
        <w:t xml:space="preserve"> (Tabel </w:t>
      </w:r>
      <w:r w:rsidR="008133B0">
        <w:t>8</w:t>
      </w:r>
      <w:r w:rsidR="00281C06">
        <w:t>)</w:t>
      </w:r>
    </w:p>
    <w:p w14:paraId="4D4EC4AF" w14:textId="51083650" w:rsidR="007D7B24" w:rsidRDefault="007D7B24" w:rsidP="007D7B24">
      <w:r>
        <w:t xml:space="preserve">Teenus3 </w:t>
      </w:r>
      <w:r w:rsidR="00281C06">
        <w:t xml:space="preserve">ettevõtte esindaja </w:t>
      </w:r>
      <w:r>
        <w:t>rõhuta</w:t>
      </w:r>
      <w:r w:rsidR="008115B0">
        <w:t>s</w:t>
      </w:r>
      <w:r>
        <w:t xml:space="preserve"> põhimõtteliselt, et kulude eiramine ei ole erasektori otsustusloogikaga kooskõlas ning korduskasutuse rakendatavus sõltub tugevalt ruumivõimekusest ja äriprotsesside ümberkorraldamise kulust. Leevendusena näh</w:t>
      </w:r>
      <w:r w:rsidR="008115B0">
        <w:t>ti</w:t>
      </w:r>
      <w:r>
        <w:t xml:space="preserve"> võimalust tsentraliseerida kogumist või rakendada varude rotatsiooni, kuid samas rõhutat</w:t>
      </w:r>
      <w:r w:rsidR="008115B0">
        <w:t>i</w:t>
      </w:r>
      <w:r>
        <w:t xml:space="preserve"> regulatsiooni proportsionaalsust ja konkurentsineutraalsus</w:t>
      </w:r>
      <w:r w:rsidR="00E732AC">
        <w:t>t.</w:t>
      </w:r>
      <w:r w:rsidR="00281C06">
        <w:t xml:space="preserve"> (Tabel </w:t>
      </w:r>
      <w:r w:rsidR="008133B0">
        <w:t>8</w:t>
      </w:r>
      <w:r w:rsidR="00281C06">
        <w:t>)</w:t>
      </w:r>
    </w:p>
    <w:p w14:paraId="61DC5B7E" w14:textId="7B659864" w:rsidR="000F51CF" w:rsidRDefault="000F51CF" w:rsidP="000F51CF">
      <w:pPr>
        <w:pStyle w:val="Pealkiri2"/>
        <w:numPr>
          <w:ilvl w:val="1"/>
          <w:numId w:val="28"/>
        </w:numPr>
      </w:pPr>
      <w:bookmarkStart w:id="13" w:name="_Toc228177590"/>
      <w:r w:rsidRPr="000F51CF">
        <w:t>Keskkonna- ja sotsiaalmõjud</w:t>
      </w:r>
      <w:r>
        <w:t xml:space="preserve"> ko</w:t>
      </w:r>
      <w:r w:rsidR="00596022">
        <w:t>r</w:t>
      </w:r>
      <w:r>
        <w:t>duskasutusnõude kasutamisel</w:t>
      </w:r>
      <w:r w:rsidRPr="000F51CF">
        <w:t xml:space="preserve"> suletud </w:t>
      </w:r>
      <w:r w:rsidR="00596022">
        <w:t>süsteemis</w:t>
      </w:r>
      <w:bookmarkEnd w:id="13"/>
    </w:p>
    <w:p w14:paraId="5DAEDC85" w14:textId="77777777" w:rsidR="000F51CF" w:rsidRDefault="000F51CF" w:rsidP="000F51CF">
      <w:r>
        <w:t>Kuigi käesoleva analüüsi kvantitatiivne tuum oli ettevõttepõhine majandusanalüüs, võimaldab kirjanduse analüüs tulemusi paigutada laiemasse jätkusuutlikkuse raamistikku. Näiteks on mõju hinnates leitud, et korduskasutus võib olla mõistlik eeskätt juhtudel, kus pikad veod ja ebaefektiivne linnalogistika on välditavad, tagatakse suur rotatsioonide arv ning süsteem ei lisa tarneahelale liigset keerukust</w:t>
      </w:r>
      <w:r>
        <w:rPr>
          <w:rStyle w:val="Allmrkuseviide"/>
        </w:rPr>
        <w:footnoteReference w:id="17"/>
      </w:r>
      <w:r>
        <w:t xml:space="preserve">. </w:t>
      </w:r>
    </w:p>
    <w:p w14:paraId="184EBBCD" w14:textId="77777777" w:rsidR="000F51CF" w:rsidRDefault="000F51CF" w:rsidP="000F51CF">
      <w:r>
        <w:t xml:space="preserve">Samas osutab sama mõjuhinnang, et transport võib olla korduskasutuse peamine keskkonna- ja kulukomponent ning selle osakaal võib ulatuda ligikaudu poole süsteemi kogukulust, mistõttu sõltub keskkonnatulemus oluliselt transpordi emissiooniprofiilist ja logistika </w:t>
      </w:r>
      <w:proofErr w:type="spellStart"/>
      <w:r>
        <w:t>optimeeritusest</w:t>
      </w:r>
      <w:proofErr w:type="spellEnd"/>
      <w:r>
        <w:t>. Seetõttu on suletud süsteemides (nagu käesolevad juhtumid) eelis just mudelitel, mis väldivad pikki veoringe.</w:t>
      </w:r>
    </w:p>
    <w:p w14:paraId="1F876704" w14:textId="77777777" w:rsidR="000F51CF" w:rsidRDefault="000F51CF" w:rsidP="000F51CF">
      <w:r>
        <w:lastRenderedPageBreak/>
        <w:t>Sotsiaalsete mõjude vaates ilmnevad juhtumiuuringute sisenditest mitmed töökorralduslikud ja kliendikogemusega seotud riskid: täiendav tööjõu koormus, järjekorrad pandi tagastusel, hügieeni tajumisega seotud maine- ja nõudlusrisk ning vajadus koolituse ja protseduuride järele. Need on kooskõlas korduskasutussüsteemide käsitlustega, kus rõhutatakse selget kommunikatsiooni, sujuvaid protsesse ning motivatsioonimehhanisme tarbijate tagastuskäitumise suunamiseks</w:t>
      </w:r>
      <w:r>
        <w:rPr>
          <w:rStyle w:val="Allmrkuseviide"/>
        </w:rPr>
        <w:footnoteReference w:id="18"/>
      </w:r>
      <w:r>
        <w:t>.</w:t>
      </w:r>
    </w:p>
    <w:p w14:paraId="2887B921" w14:textId="77777777" w:rsidR="004F274F" w:rsidRPr="004F274F" w:rsidRDefault="004F274F" w:rsidP="00663E9A">
      <w:pPr>
        <w:pStyle w:val="Pealkiri2"/>
        <w:numPr>
          <w:ilvl w:val="1"/>
          <w:numId w:val="28"/>
        </w:numPr>
      </w:pPr>
      <w:bookmarkStart w:id="14" w:name="_Toc228177591"/>
      <w:r w:rsidRPr="004F274F">
        <w:t>Ühisosa ja järeldused stsenaariumite võrdluses</w:t>
      </w:r>
      <w:bookmarkEnd w:id="14"/>
      <w:r w:rsidRPr="004F274F">
        <w:t xml:space="preserve"> </w:t>
      </w:r>
    </w:p>
    <w:p w14:paraId="031F6673" w14:textId="77777777" w:rsidR="009E0186" w:rsidRDefault="009E0186" w:rsidP="00AC749F">
      <w:bookmarkStart w:id="15" w:name="_Hlk221262832"/>
      <w:r w:rsidRPr="009E0186">
        <w:t>Käesolev alapeatükk koondab kolme juhtumiuuringu peamised järeldused. Kokkuvõte tugineb nii kvantitatiivsetele CBA tulemustele kui ka ettevõtete kvalitatiivsele sisendile. Eesmärk on näidata, kuidas erinevad rakendusstsenaariumid mõjutavad suletud süsteemis korduskasutusnõude majanduslikku tulemust, rakendatavust ja võimalikku mõju tarbijahinnale.</w:t>
      </w:r>
    </w:p>
    <w:p w14:paraId="711EDFF7" w14:textId="758D9AEE" w:rsidR="009E0186" w:rsidRDefault="009E0186" w:rsidP="00AC749F">
      <w:r w:rsidRPr="009E0186">
        <w:t>Majanduslike põhitulemuste põhjal kujuneb kõigis kolmes juhtumis sama üldine paremusjärjestus. Kohapealse pesu stsenaarium (II) on baaseeldustel positiivse NPV-</w:t>
      </w:r>
      <w:proofErr w:type="spellStart"/>
      <w:r w:rsidRPr="009E0186">
        <w:t>ga</w:t>
      </w:r>
      <w:proofErr w:type="spellEnd"/>
      <w:r w:rsidRPr="009E0186">
        <w:t>. Tsentraalse pesu stsenaarium (III) jääb kõigis teenustes negatiivse NPV-</w:t>
      </w:r>
      <w:proofErr w:type="spellStart"/>
      <w:r w:rsidRPr="009E0186">
        <w:t>ga</w:t>
      </w:r>
      <w:proofErr w:type="spellEnd"/>
      <w:r w:rsidRPr="009E0186">
        <w:t>. Täisteenuse stsenaariumi (IV) tulemus sõltub tugevalt hinnatasemest, kuid ka miinimumhinna korral jääb NPV kõigis teenustes negatiivseks. See näitab, et suletud süsteemides sõltub majanduslik tulemus eeskätt sellest, kui palju lisandub teenindusprotsessi kogumise, veo, pesu ja tagastusega seotud etappe. Mida lühem ja lihtsam on ringlus, seda väiksem on lisakulu ühe kasutuskorra kohta.</w:t>
      </w:r>
      <w:r>
        <w:t xml:space="preserve"> </w:t>
      </w:r>
      <w:r w:rsidRPr="009E0186">
        <w:t xml:space="preserve">II stsenaariumi eelis tuleneb sellest, et tagastus ja pesu on seotud ettevõtte enda töökorraldusega ning eraldi </w:t>
      </w:r>
      <w:proofErr w:type="spellStart"/>
      <w:r w:rsidRPr="009E0186">
        <w:t>pöördlogistika</w:t>
      </w:r>
      <w:proofErr w:type="spellEnd"/>
      <w:r w:rsidRPr="009E0186">
        <w:t xml:space="preserve"> vajadus on väiksem. III stsenaariumis lisanduvad veoringid, kogumise korraldus ja tsentraalse pesu püsikulud. See tõstab ühikukulu ja muudab tulemuse tundlikuks teenuse mahu ning logistika tõhususe suhtes. IV stsenaariumis koondub suurem osa kuluriskist teenustasusse. Kuna teenustasu hõlmab ühes hinnas pesu, logistikat, inventari ringlust ja haldust, sõltub selle stsenaariumi majanduslik tulemus otseselt hinnatasemest ja lepingutingimustest.</w:t>
      </w:r>
    </w:p>
    <w:p w14:paraId="65970BCE" w14:textId="77777777" w:rsidR="000F66CC" w:rsidRDefault="000F66CC" w:rsidP="00AC749F">
      <w:r w:rsidRPr="000F66CC">
        <w:t xml:space="preserve">Tundlikkusanalüüs näitab, et II stsenaariumi tulemus sõltub kõige rohkem pakendi kasutuseast ja asendusvajadusest. Kõige mõjukam tegur on kõigis teenustes pakendite asenduskulu eluea lõpus. Selle kõrval mõjutavad tulemust pesuprotsessi kulud ning tööjõu ja hoolduse kulu. Teenus2 ja Teenus3 puhul on varu tasuvuspiirini väiksem kui Teenus1 puhul. See tähendab, et ebasoodsad muutused pakendi kestvuses, kadudes või asendusvajaduses mõjutavad nende teenuste tulemust kiiremini. III stsenaariumis on kõige mõjukamad tegurid pesu ja logistika. Teenus1 ja Teenus2 puhul on see eriti selge, sest teenuspunktid on hajutatud üle Eesti ning tsentraalse pesu korral kasvab </w:t>
      </w:r>
      <w:proofErr w:type="spellStart"/>
      <w:r w:rsidRPr="000F66CC">
        <w:t>pöördlogistika</w:t>
      </w:r>
      <w:proofErr w:type="spellEnd"/>
      <w:r w:rsidRPr="000F66CC">
        <w:t xml:space="preserve"> roll. Teenus3 puhul on mõju jaotus ühtlasem, kuid ka seal sõltub tulemus peamiselt pesu- ja logistikakorralduse tõhususest. IV stsenaariumis on kõige mõjukam tegur teenustasu, mis näitab, et selle stsenaariumi tulemus sõltub eeskätt teenuse hinnatasemest. Seejuures kirjeldab tundlikkusanalüüs ainult ühe parameetri muutuse mõju, mitte mitme teguri koosmõju. Eriti selgelt negatiivse NPV-</w:t>
      </w:r>
      <w:proofErr w:type="spellStart"/>
      <w:r w:rsidRPr="000F66CC">
        <w:t>ga</w:t>
      </w:r>
      <w:proofErr w:type="spellEnd"/>
      <w:r w:rsidRPr="000F66CC">
        <w:t xml:space="preserve"> juhtudel sõltub tasuvuse paranemine enamasti mitme eelduse samaaegsest muutumisest, mitte ainult ühe parameetri üksikust muutusest.</w:t>
      </w:r>
    </w:p>
    <w:p w14:paraId="4F5E8D95" w14:textId="7681C8F3" w:rsidR="000F66CC" w:rsidRDefault="000F66CC" w:rsidP="00AC749F">
      <w:r w:rsidRPr="000F66CC">
        <w:t xml:space="preserve">Ettevõtete kvalitatiivne sisend aitab majandustulemusi paremini mõista. Kõigis juhtumites toodi esile ruumipiirangud, hügieeninõuded, lisatöökoormus ja kliendikäitumise ebakindlus. Need tegurid mõjutavad otseselt seda, kui hästi süsteem praktikas toimib ja kui suur on kadude või lisakulude risk. Seetõttu ei sõltu rakendatavus ainult arvutuslikust kulutasemest, vaid ka sellest, kas ettevõttel on piisav ruum, töökorralduslik võimekus </w:t>
      </w:r>
      <w:r>
        <w:t>jms</w:t>
      </w:r>
      <w:r w:rsidRPr="000F66CC">
        <w:t>.</w:t>
      </w:r>
    </w:p>
    <w:p w14:paraId="5B70679B" w14:textId="41839D33" w:rsidR="00AC749F" w:rsidRDefault="000F66CC" w:rsidP="00AC749F">
      <w:r w:rsidRPr="000F66CC">
        <w:t xml:space="preserve">Keskkonna- ja sotsiaalmõjude vaates on suletud ringluse peamine eelis see, et tagastus saab toimuda samas asukohas. See vähendab transpordi rolli nii kuludes kui ka heites. Kui ringlus pikeneb, suureneb </w:t>
      </w:r>
      <w:r w:rsidRPr="000F66CC">
        <w:lastRenderedPageBreak/>
        <w:t>logistika osatähtsus ning koos sellega kasvab ka transpordi mõju süsteemi kogutulemusele. Seetõttu sõltub nii majanduslik kui ka keskkonnatulemus suurel määral sellest, kui hästi on logistika korraldatud</w:t>
      </w:r>
      <w:r w:rsidR="00AC749F">
        <w:t>.</w:t>
      </w:r>
    </w:p>
    <w:p w14:paraId="48A4E0C8" w14:textId="40BCCE6E" w:rsidR="00D107FC" w:rsidRDefault="00D107FC" w:rsidP="00AC749F">
      <w:r w:rsidRPr="00D107FC">
        <w:t xml:space="preserve">Võimaliku mõju poolest tarbijahinnale erinevad stsenaariumid selgelt. II stsenaarium on tarbijahinna vaates kõige soodsam, sest selle ühikukulu jääb kõigis teenustes </w:t>
      </w:r>
      <w:proofErr w:type="spellStart"/>
      <w:r w:rsidRPr="00D107FC">
        <w:t>BAU-st</w:t>
      </w:r>
      <w:proofErr w:type="spellEnd"/>
      <w:r w:rsidRPr="00D107FC">
        <w:t xml:space="preserve"> madalamaks. III stsenaariumi mõju on ebaühtlasem: Teenus1 ja Teenus2 puhul tähendab see pigem lisakulu, kuid Teenus3 puhul jääb mõju väikeseks ja võib soodsama eelduse korral langeda BAU tasemele. Kõige suuremat võimalikku hinnasurvet tekitab IV stsenaarium, mille mõju sõltub otseselt teenustasu tasemest. Seega sõltub võimalik mõju tarbijahinnale eeskätt valitud rakendusmudelist ja täisteenuse puhul teenuse hinnastamisest</w:t>
      </w:r>
      <w:r>
        <w:t>.</w:t>
      </w:r>
    </w:p>
    <w:p w14:paraId="747FAECF" w14:textId="1B451C2E" w:rsidR="00AC749F" w:rsidRPr="00D60920" w:rsidRDefault="00D107FC" w:rsidP="00F44A76">
      <w:r w:rsidRPr="00D107FC">
        <w:t xml:space="preserve">Kokkuvõttes on suletud süsteemides majanduslikult kõige tugevam lahendus kohapealse pesu stsenaarium (II). Selle edu sõltub eeskätt pakendite kestvusest, tegelikust kasutuskordade arvust, kadude juhtimisest ja toimivast tagastuskorraldusest. Kõige olulisemad sekkumiskohad on seetõttu need, mis aitavad pikendada kasutusiga ja vähendada asendusvajadust. III ja IV stsenaariumi puhul on keskse tähtsusega logistikaahela tõhusus ja teenustasu kujunemine. Need tegurid määravad, kas lahendus jääb püsivalt </w:t>
      </w:r>
      <w:proofErr w:type="spellStart"/>
      <w:r w:rsidRPr="00D107FC">
        <w:t>BAU-st</w:t>
      </w:r>
      <w:proofErr w:type="spellEnd"/>
      <w:r w:rsidRPr="00D107FC">
        <w:t xml:space="preserve"> kallimaks või on võimalik liikuda kulutasemelt sellele lähemale. Kui hinnata lisaks ettevõtja kulule ka võimalikku mõju tarbijahinnale, on II stsenaarium kõige väiksema hinnasurvega, III stsenaarium jääb vahepeale ning IV stsenaarium võib sõltuvalt teenuse hinnatasemest tuua kaasa kõige suurema lisakulu kasutuskorra kohta.</w:t>
      </w:r>
      <w:r w:rsidR="00AC749F" w:rsidRPr="00D60920">
        <w:br w:type="page"/>
      </w:r>
    </w:p>
    <w:p w14:paraId="616221B4" w14:textId="77777777" w:rsidR="00663E9A" w:rsidRPr="00663E9A" w:rsidRDefault="009E6FD3" w:rsidP="00496A33">
      <w:pPr>
        <w:pStyle w:val="Pealkiri1"/>
      </w:pPr>
      <w:bookmarkStart w:id="16" w:name="_Toc228177592"/>
      <w:r w:rsidRPr="00663E9A">
        <w:lastRenderedPageBreak/>
        <w:t>Lisad</w:t>
      </w:r>
      <w:bookmarkStart w:id="17" w:name="_Ref221182868"/>
      <w:bookmarkEnd w:id="16"/>
    </w:p>
    <w:p w14:paraId="0CB3D388" w14:textId="77777777" w:rsidR="009E6FD3" w:rsidRPr="00CD1F4E" w:rsidRDefault="009E6FD3" w:rsidP="00496A33">
      <w:pPr>
        <w:pStyle w:val="Pealkiri2"/>
      </w:pPr>
      <w:bookmarkStart w:id="18" w:name="_Toc228177593"/>
      <w:r w:rsidRPr="00CD1F4E">
        <w:rPr>
          <w:rStyle w:val="Pealkiri5Mrk"/>
          <w:rFonts w:asciiTheme="majorHAnsi" w:hAnsiTheme="majorHAnsi"/>
          <w:sz w:val="28"/>
        </w:rPr>
        <w:t>Lisa 1</w:t>
      </w:r>
      <w:r w:rsidR="000E57EE" w:rsidRPr="00CD1F4E">
        <w:rPr>
          <w:rStyle w:val="Pealkiri5Mrk"/>
          <w:rFonts w:asciiTheme="majorHAnsi" w:hAnsiTheme="majorHAnsi"/>
          <w:sz w:val="28"/>
        </w:rPr>
        <w:t>.</w:t>
      </w:r>
      <w:r w:rsidR="000E57EE" w:rsidRPr="00CD1F4E">
        <w:t xml:space="preserve"> </w:t>
      </w:r>
      <w:bookmarkEnd w:id="17"/>
      <w:r w:rsidR="00CD1F4E">
        <w:t>Küsimustiku näidisvorm</w:t>
      </w:r>
      <w:bookmarkEnd w:id="18"/>
    </w:p>
    <w:p w14:paraId="69C6B36A" w14:textId="77777777" w:rsidR="00FA1FCB" w:rsidRPr="00FA1FCB" w:rsidRDefault="00FA1FCB" w:rsidP="00FA1FCB">
      <w:pPr>
        <w:jc w:val="left"/>
        <w:rPr>
          <w:rFonts w:ascii="Aptos" w:hAnsi="Aptos"/>
          <w:szCs w:val="21"/>
        </w:rPr>
      </w:pPr>
      <w:r w:rsidRPr="00FA1FCB">
        <w:rPr>
          <w:b/>
          <w:bCs/>
          <w:szCs w:val="21"/>
        </w:rPr>
        <w:t>1. Restoranide tegevuse maht ja profiil</w:t>
      </w:r>
    </w:p>
    <w:p w14:paraId="06DDCD64" w14:textId="77777777" w:rsidR="00FA1FCB" w:rsidRPr="00FA1FCB" w:rsidRDefault="00FA1FCB" w:rsidP="00FA1FCB">
      <w:pPr>
        <w:jc w:val="left"/>
        <w:rPr>
          <w:szCs w:val="21"/>
        </w:rPr>
      </w:pPr>
      <w:r w:rsidRPr="00FA1FCB">
        <w:rPr>
          <w:szCs w:val="21"/>
        </w:rPr>
        <w:t>1.1. Külastajate koguarv kuus ühes restoranis ja restoranide arv, sh restoranide arv ühe KOV lõikes.</w:t>
      </w:r>
    </w:p>
    <w:p w14:paraId="061D2DAE" w14:textId="77777777" w:rsidR="00FA1FCB" w:rsidRPr="00FA1FCB" w:rsidRDefault="00FA1FCB" w:rsidP="00FA1FCB">
      <w:pPr>
        <w:jc w:val="left"/>
        <w:rPr>
          <w:szCs w:val="21"/>
        </w:rPr>
      </w:pPr>
      <w:r w:rsidRPr="00FA1FCB">
        <w:rPr>
          <w:szCs w:val="21"/>
        </w:rPr>
        <w:t>1.2. Tarbimise osakaal kohapeal vs kaasamüügil (%).</w:t>
      </w:r>
    </w:p>
    <w:p w14:paraId="286E101A" w14:textId="77777777" w:rsidR="00FA1FCB" w:rsidRPr="00FA1FCB" w:rsidRDefault="00FA1FCB" w:rsidP="00FA1FCB">
      <w:pPr>
        <w:jc w:val="left"/>
        <w:rPr>
          <w:szCs w:val="21"/>
        </w:rPr>
      </w:pPr>
      <w:r w:rsidRPr="00FA1FCB">
        <w:rPr>
          <w:szCs w:val="21"/>
        </w:rPr>
        <w:t>1.3. Võttes arvesse eelnevat, kas restorani või tegevusasukoha KOV lõikes oleks Teie poolt eelistatud korduvkasutatud pakenditele üleminekul järgmine stsenaarium (jättes hetkel kõrvale kulud):</w:t>
      </w:r>
    </w:p>
    <w:p w14:paraId="216C8F83" w14:textId="77777777" w:rsidR="00FA1FCB" w:rsidRPr="00FA1FCB" w:rsidRDefault="00FA1FCB" w:rsidP="00FA1FCB">
      <w:pPr>
        <w:jc w:val="left"/>
        <w:rPr>
          <w:szCs w:val="21"/>
        </w:rPr>
      </w:pPr>
      <w:r w:rsidRPr="00FA1FCB">
        <w:rPr>
          <w:szCs w:val="21"/>
        </w:rPr>
        <w:t>a)   restoranis kohapealne ettevõtte põhine pesu (st restoranis serveerimispakendite kogumine ja oma ruumides pesuliini kasutamine)</w:t>
      </w:r>
    </w:p>
    <w:p w14:paraId="5CCA54CD" w14:textId="77777777" w:rsidR="00FA1FCB" w:rsidRPr="00FA1FCB" w:rsidRDefault="00FA1FCB" w:rsidP="00FA1FCB">
      <w:pPr>
        <w:jc w:val="left"/>
        <w:rPr>
          <w:szCs w:val="21"/>
        </w:rPr>
      </w:pPr>
      <w:r w:rsidRPr="00FA1FCB">
        <w:rPr>
          <w:szCs w:val="21"/>
        </w:rPr>
        <w:t>b)   tsentraalne oma ettevõtte põhine pesu (st restoranides kogumine KOV piires, logistika pesuüksusesse ja oma tsentraalse pesuliini kasutamine)</w:t>
      </w:r>
    </w:p>
    <w:p w14:paraId="59242FDC" w14:textId="77777777" w:rsidR="00FA1FCB" w:rsidRPr="00FA1FCB" w:rsidRDefault="00FA1FCB" w:rsidP="00FA1FCB">
      <w:pPr>
        <w:jc w:val="left"/>
        <w:rPr>
          <w:szCs w:val="21"/>
        </w:rPr>
      </w:pPr>
      <w:r w:rsidRPr="00FA1FCB">
        <w:rPr>
          <w:szCs w:val="21"/>
        </w:rPr>
        <w:t xml:space="preserve">c)   tsentraalne koostööpõhine pesu (st koostöö kaubanduskeskusega, kellega koos on </w:t>
      </w:r>
      <w:proofErr w:type="spellStart"/>
      <w:r w:rsidRPr="00FA1FCB">
        <w:rPr>
          <w:szCs w:val="21"/>
        </w:rPr>
        <w:t>ühisinvesteering</w:t>
      </w:r>
      <w:proofErr w:type="spellEnd"/>
      <w:r w:rsidRPr="00FA1FCB">
        <w:rPr>
          <w:szCs w:val="21"/>
        </w:rPr>
        <w:t xml:space="preserve"> pesuliini ja selle ühine kasutamine)</w:t>
      </w:r>
    </w:p>
    <w:p w14:paraId="5C4D00A2" w14:textId="77777777" w:rsidR="00FA1FCB" w:rsidRPr="00FA1FCB" w:rsidRDefault="00FA1FCB" w:rsidP="00FA1FCB">
      <w:pPr>
        <w:jc w:val="left"/>
        <w:rPr>
          <w:szCs w:val="21"/>
        </w:rPr>
      </w:pPr>
      <w:r w:rsidRPr="00FA1FCB">
        <w:rPr>
          <w:szCs w:val="21"/>
        </w:rPr>
        <w:t>g)   pesuteenuse kasutamine (täisteenus kolmanda isiku poolt, sh nõude pakkumine/vahetamine ja logistika).</w:t>
      </w:r>
    </w:p>
    <w:p w14:paraId="111E2E68" w14:textId="77777777" w:rsidR="00FA1FCB" w:rsidRPr="00FA1FCB" w:rsidRDefault="00FA1FCB" w:rsidP="00FA1FCB">
      <w:pPr>
        <w:jc w:val="left"/>
        <w:rPr>
          <w:szCs w:val="21"/>
        </w:rPr>
      </w:pPr>
      <w:r w:rsidRPr="00FA1FCB">
        <w:rPr>
          <w:b/>
          <w:bCs/>
          <w:szCs w:val="21"/>
        </w:rPr>
        <w:t>2. Pakendite kasutus ja müügimahud aastas</w:t>
      </w:r>
    </w:p>
    <w:p w14:paraId="4DE7004E" w14:textId="77777777" w:rsidR="00FA1FCB" w:rsidRPr="00FA1FCB" w:rsidRDefault="00FA1FCB" w:rsidP="00FA1FCB">
      <w:pPr>
        <w:jc w:val="left"/>
        <w:rPr>
          <w:szCs w:val="21"/>
        </w:rPr>
      </w:pPr>
      <w:r w:rsidRPr="00FA1FCB">
        <w:rPr>
          <w:szCs w:val="21"/>
        </w:rPr>
        <w:t>2.1. Joogitopside müügimaht (tk), jaotatuna formaadi ja joogi tüübi järgi (nt väike/keskmine/suur; vesi, karastusjoogid, kohv) ning pakendite ühiku hind (€/tk)</w:t>
      </w:r>
    </w:p>
    <w:p w14:paraId="320396D7" w14:textId="77777777" w:rsidR="00FA1FCB" w:rsidRPr="00FA1FCB" w:rsidRDefault="00FA1FCB" w:rsidP="00FA1FCB">
      <w:pPr>
        <w:jc w:val="left"/>
        <w:rPr>
          <w:szCs w:val="21"/>
        </w:rPr>
      </w:pPr>
      <w:r w:rsidRPr="00FA1FCB">
        <w:rPr>
          <w:szCs w:val="21"/>
        </w:rPr>
        <w:t>2.2. Toidupakendite (karbid) (tk), jaotatuna suuruste järgi ja pakendite ühiku hind (€/tk)</w:t>
      </w:r>
    </w:p>
    <w:p w14:paraId="4EBE7C2A" w14:textId="77777777" w:rsidR="00FA1FCB" w:rsidRPr="00FA1FCB" w:rsidRDefault="00FA1FCB" w:rsidP="00FA1FCB">
      <w:pPr>
        <w:jc w:val="left"/>
        <w:rPr>
          <w:szCs w:val="21"/>
        </w:rPr>
      </w:pPr>
      <w:r w:rsidRPr="00FA1FCB">
        <w:rPr>
          <w:szCs w:val="21"/>
        </w:rPr>
        <w:t>2.3. Võimalusel muude kohapeal serveeritavate pakendite (nt kastmetele, kui on topsis) müügimaht (tk) ja pakendi ühiku hind (€/tk).</w:t>
      </w:r>
    </w:p>
    <w:p w14:paraId="7CAE2AB9" w14:textId="77777777" w:rsidR="00FA1FCB" w:rsidRPr="00FA1FCB" w:rsidRDefault="00FA1FCB" w:rsidP="00FA1FCB">
      <w:pPr>
        <w:jc w:val="left"/>
        <w:rPr>
          <w:szCs w:val="21"/>
        </w:rPr>
      </w:pPr>
      <w:r w:rsidRPr="00FA1FCB">
        <w:rPr>
          <w:szCs w:val="21"/>
        </w:rPr>
        <w:t>2.4. Erinevate serveerimispakendite hinnangulised kaalud (jäätmetekke hindamiseks).</w:t>
      </w:r>
    </w:p>
    <w:p w14:paraId="40AA08BF" w14:textId="55AFFA07" w:rsidR="00FA1FCB" w:rsidRPr="00FA1FCB" w:rsidRDefault="00FA1FCB" w:rsidP="00FA1FCB">
      <w:pPr>
        <w:jc w:val="left"/>
        <w:rPr>
          <w:b/>
          <w:bCs/>
          <w:szCs w:val="21"/>
        </w:rPr>
      </w:pPr>
      <w:r w:rsidRPr="00FA1FCB">
        <w:rPr>
          <w:szCs w:val="21"/>
        </w:rPr>
        <w:t>2.5. Eelpool toodud jookide ja toidu müügimahu kogusumma (tulu) eurodes jaotatuna p 2.1-2.3 toodete lõikes (kuude lõikes, sh oleks vajalik teada volatii</w:t>
      </w:r>
      <w:r w:rsidR="00BF1235">
        <w:rPr>
          <w:szCs w:val="21"/>
        </w:rPr>
        <w:t>ls</w:t>
      </w:r>
      <w:r w:rsidRPr="00FA1FCB">
        <w:rPr>
          <w:szCs w:val="21"/>
        </w:rPr>
        <w:t xml:space="preserve">ust restoranide, </w:t>
      </w:r>
      <w:proofErr w:type="spellStart"/>
      <w:r w:rsidRPr="00FA1FCB">
        <w:rPr>
          <w:szCs w:val="21"/>
        </w:rPr>
        <w:t>KOVde</w:t>
      </w:r>
      <w:proofErr w:type="spellEnd"/>
      <w:r w:rsidRPr="00FA1FCB">
        <w:rPr>
          <w:szCs w:val="21"/>
        </w:rPr>
        <w:t xml:space="preserve"> lõikes). Mõistame, et tegu on ärisaladust sisaldavate andmetega ning </w:t>
      </w:r>
      <w:r w:rsidRPr="00FA1FCB">
        <w:rPr>
          <w:b/>
          <w:bCs/>
          <w:szCs w:val="21"/>
        </w:rPr>
        <w:t>alternatiivina piisaks, kui oleks teada päeva ja sessiooni lõikes tarbimise erinevus/ volatii</w:t>
      </w:r>
      <w:r w:rsidR="00BF1235">
        <w:rPr>
          <w:b/>
          <w:bCs/>
          <w:szCs w:val="21"/>
        </w:rPr>
        <w:t>l</w:t>
      </w:r>
      <w:r w:rsidRPr="00FA1FCB">
        <w:rPr>
          <w:b/>
          <w:bCs/>
          <w:szCs w:val="21"/>
        </w:rPr>
        <w:t>sus keskmise tasemega võrreldes.</w:t>
      </w:r>
      <w:r w:rsidRPr="00FA1FCB">
        <w:rPr>
          <w:szCs w:val="21"/>
        </w:rPr>
        <w:t> </w:t>
      </w:r>
    </w:p>
    <w:p w14:paraId="561E65DF" w14:textId="77777777" w:rsidR="00FA1FCB" w:rsidRPr="00FA1FCB" w:rsidRDefault="00FA1FCB" w:rsidP="00FA1FCB">
      <w:pPr>
        <w:jc w:val="left"/>
        <w:rPr>
          <w:szCs w:val="21"/>
        </w:rPr>
      </w:pPr>
      <w:r w:rsidRPr="00FA1FCB">
        <w:rPr>
          <w:b/>
          <w:bCs/>
          <w:szCs w:val="21"/>
        </w:rPr>
        <w:t>3. Ühekordsed pakendite käitlemise kulud</w:t>
      </w:r>
    </w:p>
    <w:p w14:paraId="6736F7B9" w14:textId="77777777" w:rsidR="00FA1FCB" w:rsidRPr="00FA1FCB" w:rsidRDefault="00FA1FCB" w:rsidP="00FA1FCB">
      <w:pPr>
        <w:jc w:val="left"/>
        <w:rPr>
          <w:szCs w:val="21"/>
        </w:rPr>
      </w:pPr>
      <w:r w:rsidRPr="00FA1FCB">
        <w:rPr>
          <w:szCs w:val="21"/>
        </w:rPr>
        <w:t>3.1. Kui suur on ühekordsete pakendite varu ja ruumivajadus ühes restoranis, kui palju see erineb restoranide lõikes?</w:t>
      </w:r>
    </w:p>
    <w:p w14:paraId="42CA5AA2" w14:textId="77777777" w:rsidR="00FA1FCB" w:rsidRPr="00FA1FCB" w:rsidRDefault="00FA1FCB" w:rsidP="00FA1FCB">
      <w:pPr>
        <w:jc w:val="left"/>
        <w:rPr>
          <w:szCs w:val="21"/>
        </w:rPr>
      </w:pPr>
      <w:r w:rsidRPr="00FA1FCB">
        <w:rPr>
          <w:szCs w:val="21"/>
        </w:rPr>
        <w:t>3.2. Kui mitu töötajat tegeleb ühekordsete pakendite ladustamise, kasutamisse suunamise ja jäätmete eemaldamisega restoranides keskmiselt ning kui palju see moodustab töötaja(te) tööajast kuus?</w:t>
      </w:r>
    </w:p>
    <w:p w14:paraId="6803DE4D" w14:textId="77777777" w:rsidR="00FA1FCB" w:rsidRPr="00FA1FCB" w:rsidRDefault="00FA1FCB" w:rsidP="00FA1FCB">
      <w:pPr>
        <w:jc w:val="left"/>
        <w:rPr>
          <w:szCs w:val="21"/>
        </w:rPr>
      </w:pPr>
      <w:r w:rsidRPr="00FA1FCB">
        <w:rPr>
          <w:szCs w:val="21"/>
        </w:rPr>
        <w:t>3.3. Jäätmekäitlusega seotud kulud (</w:t>
      </w:r>
      <w:proofErr w:type="spellStart"/>
      <w:r w:rsidRPr="00FA1FCB">
        <w:rPr>
          <w:szCs w:val="21"/>
        </w:rPr>
        <w:t>eur</w:t>
      </w:r>
      <w:proofErr w:type="spellEnd"/>
      <w:r w:rsidRPr="00FA1FCB">
        <w:rPr>
          <w:szCs w:val="21"/>
        </w:rPr>
        <w:t xml:space="preserve">/kuu või </w:t>
      </w:r>
      <w:proofErr w:type="spellStart"/>
      <w:r w:rsidRPr="00FA1FCB">
        <w:rPr>
          <w:szCs w:val="21"/>
        </w:rPr>
        <w:t>eur</w:t>
      </w:r>
      <w:proofErr w:type="spellEnd"/>
      <w:r w:rsidRPr="00FA1FCB">
        <w:rPr>
          <w:szCs w:val="21"/>
        </w:rPr>
        <w:t>/m3) – olme- ja pakendijäätmete kogumine, vedu, pressimine.</w:t>
      </w:r>
    </w:p>
    <w:p w14:paraId="77742DED" w14:textId="77777777" w:rsidR="00FA1FCB" w:rsidRPr="00FA1FCB" w:rsidRDefault="00FA1FCB" w:rsidP="00FA1FCB">
      <w:pPr>
        <w:jc w:val="left"/>
        <w:rPr>
          <w:szCs w:val="21"/>
        </w:rPr>
      </w:pPr>
      <w:r w:rsidRPr="00FA1FCB">
        <w:rPr>
          <w:szCs w:val="21"/>
        </w:rPr>
        <w:t>3.4. Kes kannab jäätmekäitluse kulud – restoran ise või ostukeskus (täpsustada).</w:t>
      </w:r>
    </w:p>
    <w:p w14:paraId="3F12C3E6" w14:textId="77777777" w:rsidR="00FA1FCB" w:rsidRPr="00FA1FCB" w:rsidRDefault="00FA1FCB" w:rsidP="00FA1FCB">
      <w:pPr>
        <w:jc w:val="left"/>
        <w:rPr>
          <w:szCs w:val="21"/>
        </w:rPr>
      </w:pPr>
      <w:r w:rsidRPr="00FA1FCB">
        <w:rPr>
          <w:szCs w:val="21"/>
        </w:rPr>
        <w:lastRenderedPageBreak/>
        <w:t>3.5. Tootjavastutusega seotud kulud (nt teenustasud TKO-</w:t>
      </w:r>
      <w:proofErr w:type="spellStart"/>
      <w:r w:rsidRPr="00FA1FCB">
        <w:rPr>
          <w:szCs w:val="21"/>
        </w:rPr>
        <w:t>le</w:t>
      </w:r>
      <w:proofErr w:type="spellEnd"/>
      <w:r w:rsidRPr="00FA1FCB">
        <w:rPr>
          <w:szCs w:val="21"/>
        </w:rPr>
        <w:t>, aruandlus).</w:t>
      </w:r>
    </w:p>
    <w:p w14:paraId="4DF2307C" w14:textId="77777777" w:rsidR="00FA1FCB" w:rsidRPr="00FA1FCB" w:rsidRDefault="00FA1FCB" w:rsidP="00FA1FCB">
      <w:pPr>
        <w:jc w:val="left"/>
        <w:rPr>
          <w:szCs w:val="21"/>
        </w:rPr>
      </w:pPr>
      <w:r w:rsidRPr="00FA1FCB">
        <w:rPr>
          <w:b/>
          <w:bCs/>
          <w:szCs w:val="21"/>
        </w:rPr>
        <w:t>4. Korduskasutuslahenduste kogemus ja eeldused</w:t>
      </w:r>
    </w:p>
    <w:p w14:paraId="5F3AEE65" w14:textId="77777777" w:rsidR="00FA1FCB" w:rsidRPr="00FA1FCB" w:rsidRDefault="00FA1FCB" w:rsidP="00FA1FCB">
      <w:pPr>
        <w:jc w:val="left"/>
        <w:rPr>
          <w:szCs w:val="21"/>
        </w:rPr>
      </w:pPr>
      <w:r w:rsidRPr="00FA1FCB">
        <w:rPr>
          <w:szCs w:val="21"/>
        </w:rPr>
        <w:t>4.1. Kas ja kuidas on varem kasutatud korduskasutuspakendeid (sh koostööpartnerid, pesu- ja tagastussüsteemid)?</w:t>
      </w:r>
    </w:p>
    <w:p w14:paraId="72D8815D" w14:textId="77777777" w:rsidR="00FA1FCB" w:rsidRPr="00FA1FCB" w:rsidRDefault="00FA1FCB" w:rsidP="00FA1FCB">
      <w:pPr>
        <w:jc w:val="left"/>
        <w:rPr>
          <w:szCs w:val="21"/>
        </w:rPr>
      </w:pPr>
      <w:r w:rsidRPr="00FA1FCB">
        <w:rPr>
          <w:szCs w:val="21"/>
        </w:rPr>
        <w:t>4.2. Millised oleksid võimalused ja takistused korduskasutuspakendite kogumiseks ja hoiustamiseks restoranides?</w:t>
      </w:r>
    </w:p>
    <w:p w14:paraId="76E7C378" w14:textId="77777777" w:rsidR="00FA1FCB" w:rsidRPr="00FA1FCB" w:rsidRDefault="00FA1FCB" w:rsidP="00FA1FCB">
      <w:pPr>
        <w:jc w:val="left"/>
        <w:rPr>
          <w:szCs w:val="21"/>
        </w:rPr>
      </w:pPr>
      <w:r w:rsidRPr="00FA1FCB">
        <w:rPr>
          <w:szCs w:val="21"/>
        </w:rPr>
        <w:t>4.3. Millises suurusjärgus korduskasutuspakendeid peaks ühe restorani kohta varus olema (võite tuua erinevatele restoranidele erinevad suurusjärgud)?</w:t>
      </w:r>
    </w:p>
    <w:p w14:paraId="3442C802" w14:textId="77777777" w:rsidR="00FA1FCB" w:rsidRPr="00FA1FCB" w:rsidRDefault="00FA1FCB" w:rsidP="00FA1FCB">
      <w:pPr>
        <w:jc w:val="left"/>
        <w:rPr>
          <w:szCs w:val="21"/>
        </w:rPr>
      </w:pPr>
      <w:r w:rsidRPr="00FA1FCB">
        <w:rPr>
          <w:szCs w:val="21"/>
        </w:rPr>
        <w:t>4.4. Kui on olemas, siis eelnevalt tehtud hinnangud korduskasutuse kuludele (logistika, pesu, tööjõud) või selgitada võimaliku variandi eeliseid/puuduseid p 1.3 variantide kohaselt.</w:t>
      </w:r>
    </w:p>
    <w:p w14:paraId="00FFC07C" w14:textId="77777777" w:rsidR="00FA1FCB" w:rsidRPr="00FA1FCB" w:rsidRDefault="00FA1FCB" w:rsidP="00FA1FCB">
      <w:pPr>
        <w:jc w:val="left"/>
        <w:rPr>
          <w:szCs w:val="21"/>
        </w:rPr>
      </w:pPr>
      <w:r w:rsidRPr="00FA1FCB">
        <w:rPr>
          <w:szCs w:val="21"/>
        </w:rPr>
        <w:t>4.5. Korduskasutuspakendite kogumislahenduste kirjeldus restoranides ja hinnang nende kulule võrreldes praeguste jäätmemahutitega.</w:t>
      </w:r>
    </w:p>
    <w:p w14:paraId="6E87FAA9" w14:textId="77777777" w:rsidR="00FA1FCB" w:rsidRPr="00FA1FCB" w:rsidRDefault="00FA1FCB" w:rsidP="00FA1FCB">
      <w:pPr>
        <w:jc w:val="left"/>
        <w:rPr>
          <w:szCs w:val="21"/>
        </w:rPr>
      </w:pPr>
      <w:r w:rsidRPr="00FA1FCB">
        <w:rPr>
          <w:szCs w:val="21"/>
        </w:rPr>
        <w:t>4.6. Peamised murekohad või tähelepanekud korduskasutuspakenditele üleminekul?</w:t>
      </w:r>
    </w:p>
    <w:p w14:paraId="71A80646" w14:textId="77777777" w:rsidR="00FA1FCB" w:rsidRPr="00FA1FCB" w:rsidRDefault="00FA1FCB" w:rsidP="00FA1FCB">
      <w:pPr>
        <w:jc w:val="left"/>
        <w:rPr>
          <w:szCs w:val="21"/>
        </w:rPr>
      </w:pPr>
      <w:r w:rsidRPr="00FA1FCB">
        <w:rPr>
          <w:b/>
          <w:bCs/>
          <w:szCs w:val="21"/>
        </w:rPr>
        <w:t xml:space="preserve">Andmed on vajalikud </w:t>
      </w:r>
      <w:proofErr w:type="spellStart"/>
      <w:r w:rsidRPr="00FA1FCB">
        <w:rPr>
          <w:b/>
          <w:bCs/>
          <w:szCs w:val="21"/>
        </w:rPr>
        <w:t>kulu-tulu</w:t>
      </w:r>
      <w:proofErr w:type="spellEnd"/>
      <w:r w:rsidRPr="00FA1FCB">
        <w:rPr>
          <w:b/>
          <w:bCs/>
          <w:szCs w:val="21"/>
        </w:rPr>
        <w:t xml:space="preserve"> analüüsi läbiviimiseks (inglise k </w:t>
      </w:r>
      <w:proofErr w:type="spellStart"/>
      <w:r w:rsidRPr="00FA1FCB">
        <w:rPr>
          <w:b/>
          <w:bCs/>
          <w:szCs w:val="21"/>
        </w:rPr>
        <w:t>cost</w:t>
      </w:r>
      <w:proofErr w:type="spellEnd"/>
      <w:r w:rsidRPr="00FA1FCB">
        <w:rPr>
          <w:b/>
          <w:bCs/>
          <w:szCs w:val="21"/>
        </w:rPr>
        <w:t>–</w:t>
      </w:r>
      <w:proofErr w:type="spellStart"/>
      <w:r w:rsidRPr="00FA1FCB">
        <w:rPr>
          <w:b/>
          <w:bCs/>
          <w:szCs w:val="21"/>
        </w:rPr>
        <w:t>benefit</w:t>
      </w:r>
      <w:proofErr w:type="spellEnd"/>
      <w:r w:rsidRPr="00FA1FCB">
        <w:rPr>
          <w:b/>
          <w:bCs/>
          <w:szCs w:val="21"/>
        </w:rPr>
        <w:t xml:space="preserve"> </w:t>
      </w:r>
      <w:proofErr w:type="spellStart"/>
      <w:r w:rsidRPr="00FA1FCB">
        <w:rPr>
          <w:b/>
          <w:bCs/>
          <w:szCs w:val="21"/>
        </w:rPr>
        <w:t>analysis</w:t>
      </w:r>
      <w:proofErr w:type="spellEnd"/>
      <w:r w:rsidRPr="00FA1FCB">
        <w:rPr>
          <w:b/>
          <w:bCs/>
          <w:szCs w:val="21"/>
        </w:rPr>
        <w:t>). Kõik äritegevuse kogumahtu ilmestavad andmed on meie poolt käsitletavad konfidentsiaalsete andmetena. Tulemusi käsitleme ja vajadusel esitleme ühikule üldistatud tulude ja kuludena.</w:t>
      </w:r>
    </w:p>
    <w:p w14:paraId="5605B1ED" w14:textId="77777777" w:rsidR="00FA1FCB" w:rsidRPr="00FA1FCB" w:rsidRDefault="00FA1FCB" w:rsidP="00FA1FCB">
      <w:pPr>
        <w:jc w:val="left"/>
        <w:rPr>
          <w:szCs w:val="21"/>
        </w:rPr>
      </w:pPr>
      <w:r w:rsidRPr="00FA1FCB">
        <w:rPr>
          <w:szCs w:val="21"/>
        </w:rPr>
        <w:t>Kui mõne punkti osas täpne info puudub, piisab ka hinnangulisest suurusjärgust. Kui mõne küsimuse osas läheb vastamiseks rohkem aega, võib teiste osas andmed varem edastada.</w:t>
      </w:r>
    </w:p>
    <w:p w14:paraId="3387ACBC" w14:textId="77777777" w:rsidR="00FA1FCB" w:rsidRPr="00FA1FCB" w:rsidRDefault="00FA1FCB" w:rsidP="00FA1FCB">
      <w:pPr>
        <w:jc w:val="left"/>
        <w:rPr>
          <w:szCs w:val="21"/>
        </w:rPr>
      </w:pPr>
      <w:r w:rsidRPr="00FA1FCB">
        <w:rPr>
          <w:szCs w:val="21"/>
        </w:rPr>
        <w:t>Palume andmed saata esimesel võimalusel, et saaksime neid mõjuanalüüsi koostamisel arvesse võtta.</w:t>
      </w:r>
    </w:p>
    <w:p w14:paraId="76FA87C1" w14:textId="77777777" w:rsidR="00FA1FCB" w:rsidRPr="00FA1FCB" w:rsidRDefault="00FA1FCB" w:rsidP="00FA1FCB">
      <w:pPr>
        <w:jc w:val="left"/>
        <w:rPr>
          <w:szCs w:val="21"/>
        </w:rPr>
      </w:pPr>
      <w:r w:rsidRPr="00FA1FCB">
        <w:rPr>
          <w:szCs w:val="21"/>
        </w:rPr>
        <w:t>Kui teil on täiendavaid küsimusi, siis vastan ja selgitan hea meelega.</w:t>
      </w:r>
    </w:p>
    <w:p w14:paraId="0436E0B1" w14:textId="77777777" w:rsidR="000F51CF" w:rsidRDefault="000F51CF">
      <w:pPr>
        <w:jc w:val="left"/>
      </w:pPr>
      <w:r>
        <w:br w:type="page"/>
      </w:r>
    </w:p>
    <w:p w14:paraId="4856973B" w14:textId="51231285" w:rsidR="000F51CF" w:rsidRPr="00496A33" w:rsidRDefault="000F51CF" w:rsidP="00496A33">
      <w:pPr>
        <w:pStyle w:val="Pealkiri2"/>
      </w:pPr>
      <w:bookmarkStart w:id="19" w:name="_Toc228177594"/>
      <w:r w:rsidRPr="00496A33">
        <w:rPr>
          <w:rStyle w:val="Pealkiri5Mrk"/>
          <w:rFonts w:asciiTheme="majorHAnsi" w:hAnsiTheme="majorHAnsi"/>
          <w:sz w:val="32"/>
        </w:rPr>
        <w:lastRenderedPageBreak/>
        <w:t>Lisa 2.</w:t>
      </w:r>
      <w:r w:rsidRPr="00496A33">
        <w:t xml:space="preserve"> </w:t>
      </w:r>
      <w:r w:rsidR="00C87A18" w:rsidRPr="00496A33">
        <w:t>Tundlikkus</w:t>
      </w:r>
      <w:r w:rsidR="000A6080" w:rsidRPr="00496A33">
        <w:t>analüüsi</w:t>
      </w:r>
      <w:r w:rsidR="00C87A18" w:rsidRPr="00496A33">
        <w:t xml:space="preserve"> võtmeparameetrite ebakindluse klassid ja soovituslikud vahemikud</w:t>
      </w:r>
      <w:bookmarkEnd w:id="19"/>
    </w:p>
    <w:tbl>
      <w:tblPr>
        <w:tblStyle w:val="Tabelilaad"/>
        <w:tblW w:w="5000" w:type="pct"/>
        <w:tblLayout w:type="fixed"/>
        <w:tblLook w:val="04A0" w:firstRow="1" w:lastRow="0" w:firstColumn="1" w:lastColumn="0" w:noHBand="0" w:noVBand="1"/>
      </w:tblPr>
      <w:tblGrid>
        <w:gridCol w:w="1700"/>
        <w:gridCol w:w="2649"/>
        <w:gridCol w:w="1888"/>
        <w:gridCol w:w="3117"/>
      </w:tblGrid>
      <w:tr w:rsidR="00C01574" w14:paraId="5D23936A" w14:textId="77777777" w:rsidTr="00F44A76">
        <w:trPr>
          <w:cnfStyle w:val="100000000000" w:firstRow="1" w:lastRow="0" w:firstColumn="0" w:lastColumn="0" w:oddVBand="0" w:evenVBand="0" w:oddHBand="0" w:evenHBand="0" w:firstRowFirstColumn="0" w:firstRowLastColumn="0" w:lastRowFirstColumn="0" w:lastRowLastColumn="0"/>
          <w:trHeight w:val="315"/>
        </w:trPr>
        <w:tc>
          <w:tcPr>
            <w:tcW w:w="909" w:type="pct"/>
            <w:noWrap/>
            <w:hideMark/>
          </w:tcPr>
          <w:p w14:paraId="3CF47D5D" w14:textId="77777777" w:rsidR="000F51CF" w:rsidRPr="00FE2162" w:rsidRDefault="000F51CF" w:rsidP="00BA7EA5">
            <w:pPr>
              <w:rPr>
                <w:sz w:val="20"/>
                <w:szCs w:val="20"/>
                <w:lang w:eastAsia="et-EE"/>
              </w:rPr>
            </w:pPr>
            <w:r w:rsidRPr="00FE2162">
              <w:rPr>
                <w:sz w:val="20"/>
                <w:szCs w:val="20"/>
                <w:lang w:eastAsia="et-EE"/>
              </w:rPr>
              <w:t>Ebakindluse klass</w:t>
            </w:r>
          </w:p>
        </w:tc>
        <w:tc>
          <w:tcPr>
            <w:tcW w:w="1416" w:type="pct"/>
            <w:noWrap/>
            <w:hideMark/>
          </w:tcPr>
          <w:p w14:paraId="0A7A24D7" w14:textId="77777777" w:rsidR="000F51CF" w:rsidRPr="00FE2162" w:rsidRDefault="000F51CF" w:rsidP="00BA7EA5">
            <w:pPr>
              <w:rPr>
                <w:sz w:val="20"/>
                <w:szCs w:val="20"/>
                <w:lang w:eastAsia="et-EE"/>
              </w:rPr>
            </w:pPr>
            <w:r w:rsidRPr="00FE2162">
              <w:rPr>
                <w:sz w:val="20"/>
                <w:szCs w:val="20"/>
                <w:lang w:eastAsia="et-EE"/>
              </w:rPr>
              <w:t>Põhjendus (allikatüüp)</w:t>
            </w:r>
          </w:p>
        </w:tc>
        <w:tc>
          <w:tcPr>
            <w:tcW w:w="1009" w:type="pct"/>
            <w:noWrap/>
            <w:hideMark/>
          </w:tcPr>
          <w:p w14:paraId="0AE40D99" w14:textId="77777777" w:rsidR="000F51CF" w:rsidRPr="00FE2162" w:rsidRDefault="000F51CF" w:rsidP="00BA7EA5">
            <w:pPr>
              <w:rPr>
                <w:sz w:val="20"/>
                <w:szCs w:val="20"/>
                <w:lang w:eastAsia="et-EE"/>
              </w:rPr>
            </w:pPr>
            <w:r w:rsidRPr="00FE2162">
              <w:rPr>
                <w:sz w:val="20"/>
                <w:szCs w:val="20"/>
                <w:lang w:eastAsia="et-EE"/>
              </w:rPr>
              <w:t>Soovituslik eelduste vahemik (madal–kõrge kordaja)</w:t>
            </w:r>
          </w:p>
        </w:tc>
        <w:tc>
          <w:tcPr>
            <w:tcW w:w="1666" w:type="pct"/>
            <w:noWrap/>
            <w:hideMark/>
          </w:tcPr>
          <w:p w14:paraId="69EA509D" w14:textId="77777777" w:rsidR="000F51CF" w:rsidRPr="00FE2162" w:rsidRDefault="000F51CF" w:rsidP="00BA7EA5">
            <w:pPr>
              <w:jc w:val="left"/>
              <w:rPr>
                <w:sz w:val="20"/>
                <w:szCs w:val="20"/>
                <w:lang w:eastAsia="et-EE"/>
              </w:rPr>
            </w:pPr>
            <w:r w:rsidRPr="00FE2162">
              <w:rPr>
                <w:sz w:val="20"/>
                <w:szCs w:val="20"/>
                <w:lang w:eastAsia="et-EE"/>
              </w:rPr>
              <w:t>Tüüpilised parameetrid CBA-s (näited)</w:t>
            </w:r>
          </w:p>
        </w:tc>
      </w:tr>
      <w:tr w:rsidR="00C01574" w14:paraId="16767040" w14:textId="77777777" w:rsidTr="00F44A76">
        <w:trPr>
          <w:trHeight w:val="315"/>
        </w:trPr>
        <w:tc>
          <w:tcPr>
            <w:tcW w:w="909" w:type="pct"/>
            <w:noWrap/>
            <w:hideMark/>
          </w:tcPr>
          <w:p w14:paraId="38DB376E" w14:textId="77777777" w:rsidR="000F51CF" w:rsidRPr="00FE2162" w:rsidRDefault="000F51CF" w:rsidP="00BA7EA5">
            <w:pPr>
              <w:jc w:val="left"/>
              <w:rPr>
                <w:sz w:val="20"/>
                <w:szCs w:val="20"/>
                <w:lang w:eastAsia="et-EE"/>
              </w:rPr>
            </w:pPr>
            <w:r w:rsidRPr="00FE2162">
              <w:rPr>
                <w:sz w:val="20"/>
                <w:szCs w:val="20"/>
                <w:lang w:eastAsia="et-EE"/>
              </w:rPr>
              <w:t>A – kõrge kindlus</w:t>
            </w:r>
          </w:p>
        </w:tc>
        <w:tc>
          <w:tcPr>
            <w:tcW w:w="1416" w:type="pct"/>
            <w:noWrap/>
            <w:hideMark/>
          </w:tcPr>
          <w:p w14:paraId="4CEA3C58" w14:textId="77777777" w:rsidR="000F51CF" w:rsidRPr="00FE2162" w:rsidRDefault="000F51CF" w:rsidP="00BA7EA5">
            <w:pPr>
              <w:jc w:val="left"/>
              <w:rPr>
                <w:sz w:val="20"/>
                <w:szCs w:val="20"/>
                <w:lang w:eastAsia="et-EE"/>
              </w:rPr>
            </w:pPr>
            <w:r w:rsidRPr="00FE2162">
              <w:rPr>
                <w:sz w:val="20"/>
                <w:szCs w:val="20"/>
                <w:lang w:eastAsia="et-EE"/>
              </w:rPr>
              <w:t>Lepinguline hind või arvepõhine kulu; väärtus on fikseeritud või hästi dokumenteeritud.</w:t>
            </w:r>
          </w:p>
        </w:tc>
        <w:tc>
          <w:tcPr>
            <w:tcW w:w="1009" w:type="pct"/>
            <w:noWrap/>
            <w:hideMark/>
          </w:tcPr>
          <w:p w14:paraId="5119DD73" w14:textId="77777777" w:rsidR="000F51CF" w:rsidRPr="00FE2162" w:rsidRDefault="000F51CF" w:rsidP="00BA7EA5">
            <w:pPr>
              <w:jc w:val="left"/>
              <w:rPr>
                <w:sz w:val="20"/>
                <w:szCs w:val="20"/>
                <w:lang w:eastAsia="et-EE"/>
              </w:rPr>
            </w:pPr>
            <w:r w:rsidRPr="00FE2162">
              <w:rPr>
                <w:sz w:val="20"/>
                <w:szCs w:val="20"/>
                <w:lang w:eastAsia="et-EE"/>
              </w:rPr>
              <w:t>0,90 – 1,10</w:t>
            </w:r>
          </w:p>
        </w:tc>
        <w:tc>
          <w:tcPr>
            <w:tcW w:w="1666" w:type="pct"/>
            <w:noWrap/>
            <w:hideMark/>
          </w:tcPr>
          <w:p w14:paraId="68516AAD" w14:textId="77777777" w:rsidR="000F51CF" w:rsidRPr="00FE2162" w:rsidRDefault="000F51CF" w:rsidP="00BA7EA5">
            <w:pPr>
              <w:jc w:val="left"/>
              <w:rPr>
                <w:sz w:val="20"/>
                <w:szCs w:val="20"/>
                <w:lang w:eastAsia="et-EE"/>
              </w:rPr>
            </w:pPr>
            <w:r w:rsidRPr="00FE2162">
              <w:rPr>
                <w:sz w:val="20"/>
                <w:szCs w:val="20"/>
                <w:lang w:eastAsia="et-EE"/>
              </w:rPr>
              <w:t>Lepingu alusel fikseeritud teenustasu, mõõdetud teenuseühikuhind, raamatupidamisandmetest tulenev kulukomponent.</w:t>
            </w:r>
          </w:p>
        </w:tc>
      </w:tr>
      <w:tr w:rsidR="00C01574" w14:paraId="70C87E8A" w14:textId="77777777" w:rsidTr="00F44A76">
        <w:trPr>
          <w:trHeight w:val="315"/>
        </w:trPr>
        <w:tc>
          <w:tcPr>
            <w:tcW w:w="909" w:type="pct"/>
            <w:noWrap/>
            <w:hideMark/>
          </w:tcPr>
          <w:p w14:paraId="58BD1553" w14:textId="77777777" w:rsidR="000F51CF" w:rsidRPr="00FE2162" w:rsidRDefault="000F51CF" w:rsidP="00BA7EA5">
            <w:pPr>
              <w:jc w:val="left"/>
              <w:rPr>
                <w:sz w:val="20"/>
                <w:szCs w:val="20"/>
                <w:lang w:eastAsia="et-EE"/>
              </w:rPr>
            </w:pPr>
            <w:r w:rsidRPr="00FE2162">
              <w:rPr>
                <w:sz w:val="20"/>
                <w:szCs w:val="20"/>
                <w:lang w:eastAsia="et-EE"/>
              </w:rPr>
              <w:t>B – keskmine kindlus</w:t>
            </w:r>
          </w:p>
        </w:tc>
        <w:tc>
          <w:tcPr>
            <w:tcW w:w="1416" w:type="pct"/>
            <w:noWrap/>
            <w:hideMark/>
          </w:tcPr>
          <w:p w14:paraId="68E7F554" w14:textId="77777777" w:rsidR="000F51CF" w:rsidRPr="00FE2162" w:rsidRDefault="000F51CF" w:rsidP="00BA7EA5">
            <w:pPr>
              <w:jc w:val="left"/>
              <w:rPr>
                <w:sz w:val="20"/>
                <w:szCs w:val="20"/>
                <w:lang w:eastAsia="et-EE"/>
              </w:rPr>
            </w:pPr>
            <w:r w:rsidRPr="00FE2162">
              <w:rPr>
                <w:sz w:val="20"/>
                <w:szCs w:val="20"/>
                <w:lang w:eastAsia="et-EE"/>
              </w:rPr>
              <w:t>Turuinfo või mõõdetud protsessikulu; hind kõigub, kuid jääb tavaliselt mõõdukasse vahemikku.</w:t>
            </w:r>
          </w:p>
        </w:tc>
        <w:tc>
          <w:tcPr>
            <w:tcW w:w="1009" w:type="pct"/>
            <w:noWrap/>
            <w:hideMark/>
          </w:tcPr>
          <w:p w14:paraId="25BB921A" w14:textId="77777777" w:rsidR="000F51CF" w:rsidRPr="00FE2162" w:rsidRDefault="000F51CF" w:rsidP="00BA7EA5">
            <w:pPr>
              <w:jc w:val="left"/>
              <w:rPr>
                <w:sz w:val="20"/>
                <w:szCs w:val="20"/>
                <w:lang w:eastAsia="et-EE"/>
              </w:rPr>
            </w:pPr>
            <w:r w:rsidRPr="00FE2162">
              <w:rPr>
                <w:sz w:val="20"/>
                <w:szCs w:val="20"/>
                <w:lang w:eastAsia="et-EE"/>
              </w:rPr>
              <w:t>0,80 – 1,20</w:t>
            </w:r>
          </w:p>
        </w:tc>
        <w:tc>
          <w:tcPr>
            <w:tcW w:w="1666" w:type="pct"/>
            <w:noWrap/>
            <w:hideMark/>
          </w:tcPr>
          <w:p w14:paraId="27E0A938" w14:textId="77777777" w:rsidR="000F51CF" w:rsidRPr="00FE2162" w:rsidRDefault="000F51CF" w:rsidP="00BA7EA5">
            <w:pPr>
              <w:jc w:val="left"/>
              <w:rPr>
                <w:sz w:val="20"/>
                <w:szCs w:val="20"/>
                <w:lang w:eastAsia="et-EE"/>
              </w:rPr>
            </w:pPr>
            <w:r w:rsidRPr="00FE2162">
              <w:rPr>
                <w:sz w:val="20"/>
                <w:szCs w:val="20"/>
                <w:lang w:eastAsia="et-EE"/>
              </w:rPr>
              <w:t>Tööjõukulu, energia/vesi, pesuvahendid, BAU pakendihinnad, jäätmekäitlus (kui tugineb hinnakirjadele).</w:t>
            </w:r>
          </w:p>
        </w:tc>
      </w:tr>
      <w:tr w:rsidR="00C01574" w14:paraId="2FDA0E79" w14:textId="77777777" w:rsidTr="00F44A76">
        <w:trPr>
          <w:trHeight w:val="315"/>
        </w:trPr>
        <w:tc>
          <w:tcPr>
            <w:tcW w:w="909" w:type="pct"/>
            <w:noWrap/>
            <w:hideMark/>
          </w:tcPr>
          <w:p w14:paraId="56AB72FC" w14:textId="77777777" w:rsidR="000F51CF" w:rsidRPr="00FE2162" w:rsidRDefault="000F51CF" w:rsidP="00BA7EA5">
            <w:pPr>
              <w:jc w:val="left"/>
              <w:rPr>
                <w:sz w:val="20"/>
                <w:szCs w:val="20"/>
                <w:lang w:eastAsia="et-EE"/>
              </w:rPr>
            </w:pPr>
            <w:r w:rsidRPr="00FE2162">
              <w:rPr>
                <w:sz w:val="20"/>
                <w:szCs w:val="20"/>
                <w:lang w:eastAsia="et-EE"/>
              </w:rPr>
              <w:t>C – madal kindlus</w:t>
            </w:r>
          </w:p>
        </w:tc>
        <w:tc>
          <w:tcPr>
            <w:tcW w:w="1416" w:type="pct"/>
            <w:noWrap/>
            <w:hideMark/>
          </w:tcPr>
          <w:p w14:paraId="0A671B52" w14:textId="77777777" w:rsidR="000F51CF" w:rsidRPr="00FE2162" w:rsidRDefault="000F51CF" w:rsidP="00BA7EA5">
            <w:pPr>
              <w:jc w:val="left"/>
              <w:rPr>
                <w:sz w:val="20"/>
                <w:szCs w:val="20"/>
                <w:lang w:eastAsia="et-EE"/>
              </w:rPr>
            </w:pPr>
            <w:r w:rsidRPr="00FE2162">
              <w:rPr>
                <w:sz w:val="20"/>
                <w:szCs w:val="20"/>
                <w:lang w:eastAsia="et-EE"/>
              </w:rPr>
              <w:t>Hinnanguline või piloteerimata; investeeringu/projekti eeldus, mille täpne maksumus selgub detailse projekteerimisega.</w:t>
            </w:r>
          </w:p>
        </w:tc>
        <w:tc>
          <w:tcPr>
            <w:tcW w:w="1009" w:type="pct"/>
            <w:noWrap/>
            <w:hideMark/>
          </w:tcPr>
          <w:p w14:paraId="308FD03D" w14:textId="77777777" w:rsidR="000F51CF" w:rsidRPr="00FE2162" w:rsidRDefault="000F51CF" w:rsidP="00BA7EA5">
            <w:pPr>
              <w:jc w:val="left"/>
              <w:rPr>
                <w:sz w:val="20"/>
                <w:szCs w:val="20"/>
                <w:lang w:eastAsia="et-EE"/>
              </w:rPr>
            </w:pPr>
            <w:r w:rsidRPr="00FE2162">
              <w:rPr>
                <w:sz w:val="20"/>
                <w:szCs w:val="20"/>
                <w:lang w:eastAsia="et-EE"/>
              </w:rPr>
              <w:t xml:space="preserve">0,60 – 1,40 </w:t>
            </w:r>
          </w:p>
        </w:tc>
        <w:tc>
          <w:tcPr>
            <w:tcW w:w="1666" w:type="pct"/>
            <w:noWrap/>
            <w:hideMark/>
          </w:tcPr>
          <w:p w14:paraId="18347786" w14:textId="77777777" w:rsidR="000F51CF" w:rsidRPr="00FE2162" w:rsidRDefault="000F51CF" w:rsidP="00BA7EA5">
            <w:pPr>
              <w:jc w:val="left"/>
              <w:rPr>
                <w:sz w:val="20"/>
                <w:szCs w:val="20"/>
                <w:lang w:eastAsia="et-EE"/>
              </w:rPr>
            </w:pPr>
            <w:r w:rsidRPr="00FE2162">
              <w:rPr>
                <w:sz w:val="20"/>
                <w:szCs w:val="20"/>
                <w:lang w:eastAsia="et-EE"/>
              </w:rPr>
              <w:t>CAPEX kokku, ruumide ümberehitus (kanalisatsioon/ventilatsioon), IT-lahendus, seadmete paigaldus ja muud projektipõhised kulud.</w:t>
            </w:r>
          </w:p>
        </w:tc>
      </w:tr>
      <w:tr w:rsidR="00C01574" w14:paraId="4603B7E9" w14:textId="77777777" w:rsidTr="00F44A76">
        <w:trPr>
          <w:trHeight w:val="315"/>
        </w:trPr>
        <w:tc>
          <w:tcPr>
            <w:tcW w:w="909" w:type="pct"/>
            <w:noWrap/>
            <w:hideMark/>
          </w:tcPr>
          <w:p w14:paraId="5B69F3AC" w14:textId="77777777" w:rsidR="000F51CF" w:rsidRPr="00FE2162" w:rsidRDefault="000F51CF" w:rsidP="00BA7EA5">
            <w:pPr>
              <w:jc w:val="left"/>
              <w:rPr>
                <w:sz w:val="20"/>
                <w:szCs w:val="20"/>
                <w:lang w:eastAsia="et-EE"/>
              </w:rPr>
            </w:pPr>
            <w:r w:rsidRPr="00FE2162">
              <w:rPr>
                <w:sz w:val="20"/>
                <w:szCs w:val="20"/>
                <w:lang w:eastAsia="et-EE"/>
              </w:rPr>
              <w:t>D – käitumuslik / väga ebakindel</w:t>
            </w:r>
          </w:p>
        </w:tc>
        <w:tc>
          <w:tcPr>
            <w:tcW w:w="1416" w:type="pct"/>
            <w:noWrap/>
            <w:hideMark/>
          </w:tcPr>
          <w:p w14:paraId="0AB604C6" w14:textId="77777777" w:rsidR="000F51CF" w:rsidRPr="00FE2162" w:rsidRDefault="000F51CF" w:rsidP="00BA7EA5">
            <w:pPr>
              <w:jc w:val="left"/>
              <w:rPr>
                <w:sz w:val="20"/>
                <w:szCs w:val="20"/>
                <w:lang w:eastAsia="et-EE"/>
              </w:rPr>
            </w:pPr>
            <w:r w:rsidRPr="00FE2162">
              <w:rPr>
                <w:sz w:val="20"/>
                <w:szCs w:val="20"/>
                <w:lang w:eastAsia="et-EE"/>
              </w:rPr>
              <w:t>Sõltub inimkäitumisest ja protsessidistsipliinist; risk on sageli asümmeetriline (halvem stsenaarium võib olla oluliselt halvem).</w:t>
            </w:r>
          </w:p>
        </w:tc>
        <w:tc>
          <w:tcPr>
            <w:tcW w:w="1009" w:type="pct"/>
            <w:noWrap/>
            <w:hideMark/>
          </w:tcPr>
          <w:p w14:paraId="03E1DA01" w14:textId="77777777" w:rsidR="000F51CF" w:rsidRPr="00FE2162" w:rsidRDefault="000F51CF" w:rsidP="00BA7EA5">
            <w:pPr>
              <w:jc w:val="left"/>
              <w:rPr>
                <w:sz w:val="20"/>
                <w:szCs w:val="20"/>
                <w:lang w:eastAsia="et-EE"/>
              </w:rPr>
            </w:pPr>
            <w:r w:rsidRPr="00FE2162">
              <w:rPr>
                <w:sz w:val="20"/>
                <w:szCs w:val="20"/>
                <w:lang w:eastAsia="et-EE"/>
              </w:rPr>
              <w:t xml:space="preserve">0,80 – 1,50 </w:t>
            </w:r>
          </w:p>
        </w:tc>
        <w:tc>
          <w:tcPr>
            <w:tcW w:w="1666" w:type="pct"/>
            <w:noWrap/>
            <w:hideMark/>
          </w:tcPr>
          <w:p w14:paraId="0A750313" w14:textId="77777777" w:rsidR="000F51CF" w:rsidRPr="00FE2162" w:rsidRDefault="000F51CF" w:rsidP="00BA7EA5">
            <w:pPr>
              <w:jc w:val="left"/>
              <w:rPr>
                <w:sz w:val="20"/>
                <w:szCs w:val="20"/>
                <w:lang w:eastAsia="et-EE"/>
              </w:rPr>
            </w:pPr>
            <w:r w:rsidRPr="00FE2162">
              <w:rPr>
                <w:sz w:val="20"/>
                <w:szCs w:val="20"/>
                <w:lang w:eastAsia="et-EE"/>
              </w:rPr>
              <w:t>Kadu/purunemine, tagastusmäär, korduspakendi eluiga (kasutuskorrad), kõrvalekalded operatiivses protsessis.</w:t>
            </w:r>
          </w:p>
        </w:tc>
      </w:tr>
    </w:tbl>
    <w:p w14:paraId="5A773F5C" w14:textId="796D11C5" w:rsidR="00F44A76" w:rsidRPr="00F44A76" w:rsidRDefault="000F51CF" w:rsidP="00F44A76">
      <w:pPr>
        <w:rPr>
          <w:i/>
          <w:iCs/>
          <w:sz w:val="18"/>
          <w:szCs w:val="18"/>
        </w:rPr>
        <w:sectPr w:rsidR="00F44A76" w:rsidRPr="00F44A76" w:rsidSect="00F44A76">
          <w:footerReference w:type="default" r:id="rId8"/>
          <w:headerReference w:type="first" r:id="rId9"/>
          <w:footerReference w:type="first" r:id="rId10"/>
          <w:pgSz w:w="11906" w:h="16838"/>
          <w:pgMar w:top="1134" w:right="851" w:bottom="1134" w:left="1701" w:header="709" w:footer="709" w:gutter="0"/>
          <w:cols w:space="708"/>
          <w:titlePg/>
          <w:docGrid w:linePitch="360"/>
        </w:sectPr>
      </w:pPr>
      <w:r w:rsidRPr="00850E57">
        <w:rPr>
          <w:b/>
          <w:bCs/>
          <w:i/>
          <w:iCs/>
          <w:sz w:val="18"/>
          <w:szCs w:val="18"/>
        </w:rPr>
        <w:t>Allikas</w:t>
      </w:r>
      <w:r w:rsidRPr="00850E57">
        <w:rPr>
          <w:i/>
          <w:iCs/>
          <w:sz w:val="18"/>
          <w:szCs w:val="18"/>
        </w:rPr>
        <w:t xml:space="preserve">: </w:t>
      </w:r>
      <w:proofErr w:type="spellStart"/>
      <w:r w:rsidRPr="00850E57">
        <w:rPr>
          <w:i/>
          <w:iCs/>
          <w:sz w:val="18"/>
          <w:szCs w:val="18"/>
        </w:rPr>
        <w:t>Guide</w:t>
      </w:r>
      <w:proofErr w:type="spellEnd"/>
      <w:r w:rsidRPr="00850E57">
        <w:rPr>
          <w:i/>
          <w:iCs/>
          <w:sz w:val="18"/>
          <w:szCs w:val="18"/>
        </w:rPr>
        <w:t xml:space="preserve"> </w:t>
      </w:r>
      <w:proofErr w:type="spellStart"/>
      <w:r w:rsidRPr="00850E57">
        <w:rPr>
          <w:i/>
          <w:iCs/>
          <w:sz w:val="18"/>
          <w:szCs w:val="18"/>
        </w:rPr>
        <w:t>to</w:t>
      </w:r>
      <w:proofErr w:type="spellEnd"/>
      <w:r w:rsidRPr="00850E57">
        <w:rPr>
          <w:i/>
          <w:iCs/>
          <w:sz w:val="18"/>
          <w:szCs w:val="18"/>
        </w:rPr>
        <w:t xml:space="preserve"> Cost-</w:t>
      </w:r>
      <w:proofErr w:type="spellStart"/>
      <w:r w:rsidRPr="00850E57">
        <w:rPr>
          <w:i/>
          <w:iCs/>
          <w:sz w:val="18"/>
          <w:szCs w:val="18"/>
        </w:rPr>
        <w:t>Benefit</w:t>
      </w:r>
      <w:proofErr w:type="spellEnd"/>
      <w:r w:rsidRPr="00850E57">
        <w:rPr>
          <w:i/>
          <w:iCs/>
          <w:sz w:val="18"/>
          <w:szCs w:val="18"/>
        </w:rPr>
        <w:t xml:space="preserve"> </w:t>
      </w:r>
      <w:proofErr w:type="spellStart"/>
      <w:r w:rsidRPr="00850E57">
        <w:rPr>
          <w:i/>
          <w:iCs/>
          <w:sz w:val="18"/>
          <w:szCs w:val="18"/>
        </w:rPr>
        <w:t>Analysis</w:t>
      </w:r>
      <w:proofErr w:type="spellEnd"/>
      <w:r w:rsidRPr="00850E57">
        <w:rPr>
          <w:i/>
          <w:iCs/>
          <w:sz w:val="18"/>
          <w:szCs w:val="18"/>
        </w:rPr>
        <w:t xml:space="preserve"> of Investment </w:t>
      </w:r>
      <w:proofErr w:type="spellStart"/>
      <w:r w:rsidRPr="00850E57">
        <w:rPr>
          <w:i/>
          <w:iCs/>
          <w:sz w:val="18"/>
          <w:szCs w:val="18"/>
        </w:rPr>
        <w:t>Projects</w:t>
      </w:r>
      <w:proofErr w:type="spellEnd"/>
      <w:r w:rsidRPr="00850E57">
        <w:rPr>
          <w:i/>
          <w:iCs/>
          <w:sz w:val="18"/>
          <w:szCs w:val="18"/>
        </w:rPr>
        <w:t xml:space="preserve">. </w:t>
      </w:r>
      <w:proofErr w:type="spellStart"/>
      <w:r w:rsidRPr="00850E57">
        <w:rPr>
          <w:i/>
          <w:iCs/>
          <w:sz w:val="18"/>
          <w:szCs w:val="18"/>
        </w:rPr>
        <w:t>Economic</w:t>
      </w:r>
      <w:proofErr w:type="spellEnd"/>
      <w:r w:rsidRPr="00850E57">
        <w:rPr>
          <w:i/>
          <w:iCs/>
          <w:sz w:val="18"/>
          <w:szCs w:val="18"/>
        </w:rPr>
        <w:t xml:space="preserve"> </w:t>
      </w:r>
      <w:proofErr w:type="spellStart"/>
      <w:r w:rsidRPr="00850E57">
        <w:rPr>
          <w:i/>
          <w:iCs/>
          <w:sz w:val="18"/>
          <w:szCs w:val="18"/>
        </w:rPr>
        <w:t>appraisal</w:t>
      </w:r>
      <w:proofErr w:type="spellEnd"/>
      <w:r w:rsidRPr="00850E57">
        <w:rPr>
          <w:i/>
          <w:iCs/>
          <w:sz w:val="18"/>
          <w:szCs w:val="18"/>
        </w:rPr>
        <w:t xml:space="preserve"> tool </w:t>
      </w:r>
      <w:proofErr w:type="spellStart"/>
      <w:r w:rsidRPr="00850E57">
        <w:rPr>
          <w:i/>
          <w:iCs/>
          <w:sz w:val="18"/>
          <w:szCs w:val="18"/>
        </w:rPr>
        <w:t>for</w:t>
      </w:r>
      <w:proofErr w:type="spellEnd"/>
      <w:r w:rsidRPr="00850E57">
        <w:rPr>
          <w:i/>
          <w:iCs/>
          <w:sz w:val="18"/>
          <w:szCs w:val="18"/>
        </w:rPr>
        <w:t xml:space="preserve"> </w:t>
      </w:r>
      <w:proofErr w:type="spellStart"/>
      <w:r w:rsidRPr="00850E57">
        <w:rPr>
          <w:i/>
          <w:iCs/>
          <w:sz w:val="18"/>
          <w:szCs w:val="18"/>
        </w:rPr>
        <w:t>Cohesion</w:t>
      </w:r>
      <w:proofErr w:type="spellEnd"/>
      <w:r w:rsidRPr="00850E57">
        <w:rPr>
          <w:i/>
          <w:iCs/>
          <w:sz w:val="18"/>
          <w:szCs w:val="18"/>
        </w:rPr>
        <w:t xml:space="preserve"> </w:t>
      </w:r>
      <w:proofErr w:type="spellStart"/>
      <w:r w:rsidRPr="00850E57">
        <w:rPr>
          <w:i/>
          <w:iCs/>
          <w:sz w:val="18"/>
          <w:szCs w:val="18"/>
        </w:rPr>
        <w:t>Policy</w:t>
      </w:r>
      <w:proofErr w:type="spellEnd"/>
      <w:r w:rsidRPr="00850E57">
        <w:rPr>
          <w:i/>
          <w:iCs/>
          <w:sz w:val="18"/>
          <w:szCs w:val="18"/>
        </w:rPr>
        <w:t xml:space="preserve"> 2014-2020 ja autori täiendused</w:t>
      </w:r>
    </w:p>
    <w:p w14:paraId="48840C0D" w14:textId="5E21F04D" w:rsidR="006E6C04" w:rsidRDefault="000F51CF" w:rsidP="00496A33">
      <w:pPr>
        <w:pStyle w:val="Pealkiri2"/>
        <w:rPr>
          <w:rStyle w:val="Pealkiri5Mrk"/>
          <w:rFonts w:asciiTheme="majorHAnsi" w:hAnsiTheme="majorHAnsi"/>
          <w:sz w:val="28"/>
        </w:rPr>
      </w:pPr>
      <w:bookmarkStart w:id="20" w:name="_Toc228177595"/>
      <w:r w:rsidRPr="00CD1F4E">
        <w:rPr>
          <w:rStyle w:val="Pealkiri5Mrk"/>
          <w:rFonts w:asciiTheme="majorHAnsi" w:hAnsiTheme="majorHAnsi"/>
          <w:sz w:val="28"/>
        </w:rPr>
        <w:lastRenderedPageBreak/>
        <w:t>Lisa 3.</w:t>
      </w:r>
      <w:r w:rsidRPr="00CD1F4E">
        <w:t xml:space="preserve"> Tundlikkusanalüüsis kasutatavad stsenaariumipõhised kordajad</w:t>
      </w:r>
      <w:bookmarkEnd w:id="20"/>
    </w:p>
    <w:tbl>
      <w:tblPr>
        <w:tblStyle w:val="Tabelilaad"/>
        <w:tblW w:w="5000" w:type="pct"/>
        <w:tblLayout w:type="fixed"/>
        <w:tblLook w:val="04A0" w:firstRow="1" w:lastRow="0" w:firstColumn="1" w:lastColumn="0" w:noHBand="0" w:noVBand="1"/>
      </w:tblPr>
      <w:tblGrid>
        <w:gridCol w:w="993"/>
        <w:gridCol w:w="5810"/>
        <w:gridCol w:w="851"/>
        <w:gridCol w:w="711"/>
        <w:gridCol w:w="991"/>
        <w:gridCol w:w="991"/>
        <w:gridCol w:w="994"/>
        <w:gridCol w:w="1134"/>
        <w:gridCol w:w="880"/>
        <w:gridCol w:w="1215"/>
      </w:tblGrid>
      <w:tr w:rsidR="00F44A76" w:rsidRPr="00EA12E7" w14:paraId="71F32568" w14:textId="77777777" w:rsidTr="008678C6">
        <w:trPr>
          <w:cnfStyle w:val="100000000000" w:firstRow="1" w:lastRow="0" w:firstColumn="0" w:lastColumn="0" w:oddVBand="0" w:evenVBand="0" w:oddHBand="0" w:evenHBand="0" w:firstRowFirstColumn="0" w:firstRowLastColumn="0" w:lastRowFirstColumn="0" w:lastRowLastColumn="0"/>
          <w:trHeight w:val="300"/>
        </w:trPr>
        <w:tc>
          <w:tcPr>
            <w:tcW w:w="341" w:type="pct"/>
            <w:noWrap/>
            <w:hideMark/>
          </w:tcPr>
          <w:p w14:paraId="0CCF3AFF" w14:textId="6F31E868" w:rsidR="000F51CF" w:rsidRPr="00EA12E7" w:rsidRDefault="000A6080" w:rsidP="00BA7EA5">
            <w:pPr>
              <w:jc w:val="left"/>
              <w:rPr>
                <w:rFonts w:eastAsia="Times New Roman" w:cs="Times New Roman"/>
                <w:kern w:val="0"/>
                <w:sz w:val="16"/>
                <w:szCs w:val="16"/>
                <w:lang w:eastAsia="et-EE"/>
                <w14:ligatures w14:val="none"/>
              </w:rPr>
            </w:pPr>
            <w:r>
              <w:rPr>
                <w:rFonts w:eastAsia="Times New Roman" w:cs="Times New Roman"/>
                <w:kern w:val="0"/>
                <w:sz w:val="16"/>
                <w:szCs w:val="16"/>
                <w:lang w:eastAsia="et-EE"/>
                <w14:ligatures w14:val="none"/>
              </w:rPr>
              <w:t>Teenus</w:t>
            </w:r>
          </w:p>
        </w:tc>
        <w:tc>
          <w:tcPr>
            <w:tcW w:w="1994" w:type="pct"/>
            <w:noWrap/>
            <w:hideMark/>
          </w:tcPr>
          <w:p w14:paraId="05170E2D" w14:textId="6E664284"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Võtme</w:t>
            </w:r>
            <w:r w:rsidR="000A6080">
              <w:rPr>
                <w:rFonts w:eastAsia="Times New Roman" w:cs="Times New Roman"/>
                <w:kern w:val="0"/>
                <w:sz w:val="16"/>
                <w:szCs w:val="16"/>
                <w:lang w:eastAsia="et-EE"/>
                <w14:ligatures w14:val="none"/>
              </w:rPr>
              <w:t>parameetrid</w:t>
            </w:r>
          </w:p>
        </w:tc>
        <w:tc>
          <w:tcPr>
            <w:tcW w:w="292" w:type="pct"/>
            <w:noWrap/>
            <w:hideMark/>
          </w:tcPr>
          <w:p w14:paraId="6087770A" w14:textId="77777777"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Madal eeldus</w:t>
            </w:r>
          </w:p>
        </w:tc>
        <w:tc>
          <w:tcPr>
            <w:tcW w:w="244" w:type="pct"/>
            <w:noWrap/>
            <w:hideMark/>
          </w:tcPr>
          <w:p w14:paraId="47EE984B" w14:textId="77777777"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Kõrge eeldus</w:t>
            </w:r>
          </w:p>
        </w:tc>
        <w:tc>
          <w:tcPr>
            <w:tcW w:w="340" w:type="pct"/>
            <w:noWrap/>
            <w:hideMark/>
          </w:tcPr>
          <w:p w14:paraId="27555109" w14:textId="779BEF71"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NPV madal</w:t>
            </w:r>
            <w:r w:rsidR="00F44A76" w:rsidRPr="00EA12E7">
              <w:rPr>
                <w:rFonts w:eastAsia="Times New Roman" w:cs="Times New Roman"/>
                <w:kern w:val="0"/>
                <w:sz w:val="16"/>
                <w:szCs w:val="16"/>
                <w:lang w:eastAsia="et-EE"/>
                <w14:ligatures w14:val="none"/>
              </w:rPr>
              <w:t>, eurot</w:t>
            </w:r>
          </w:p>
        </w:tc>
        <w:tc>
          <w:tcPr>
            <w:tcW w:w="340" w:type="pct"/>
            <w:noWrap/>
            <w:hideMark/>
          </w:tcPr>
          <w:p w14:paraId="0F128D4E" w14:textId="54347D9D"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NPV baas</w:t>
            </w:r>
            <w:r w:rsidR="00F44A76" w:rsidRPr="00EA12E7">
              <w:rPr>
                <w:rFonts w:eastAsia="Times New Roman" w:cs="Times New Roman"/>
                <w:kern w:val="0"/>
                <w:sz w:val="16"/>
                <w:szCs w:val="16"/>
                <w:lang w:eastAsia="et-EE"/>
                <w14:ligatures w14:val="none"/>
              </w:rPr>
              <w:t>, eurot</w:t>
            </w:r>
          </w:p>
        </w:tc>
        <w:tc>
          <w:tcPr>
            <w:tcW w:w="341" w:type="pct"/>
            <w:noWrap/>
            <w:hideMark/>
          </w:tcPr>
          <w:p w14:paraId="55C3A44E" w14:textId="7CCF29A0"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NPV kõrge</w:t>
            </w:r>
            <w:r w:rsidR="00F44A76" w:rsidRPr="00EA12E7">
              <w:rPr>
                <w:rFonts w:eastAsia="Times New Roman" w:cs="Times New Roman"/>
                <w:kern w:val="0"/>
                <w:sz w:val="16"/>
                <w:szCs w:val="16"/>
                <w:lang w:eastAsia="et-EE"/>
                <w14:ligatures w14:val="none"/>
              </w:rPr>
              <w:t>, eurot</w:t>
            </w:r>
          </w:p>
        </w:tc>
        <w:tc>
          <w:tcPr>
            <w:tcW w:w="389" w:type="pct"/>
            <w:noWrap/>
            <w:hideMark/>
          </w:tcPr>
          <w:p w14:paraId="4D831C4D" w14:textId="77777777" w:rsidR="000F51CF" w:rsidRPr="00EA12E7" w:rsidRDefault="000F51C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Ebakindluse klass (A–D)</w:t>
            </w:r>
          </w:p>
        </w:tc>
        <w:tc>
          <w:tcPr>
            <w:tcW w:w="302" w:type="pct"/>
            <w:noWrap/>
            <w:hideMark/>
          </w:tcPr>
          <w:p w14:paraId="39E19941" w14:textId="14A2610C" w:rsidR="000F51CF" w:rsidRPr="00EA12E7" w:rsidRDefault="00013AB7"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Elastsus (</w:t>
            </w:r>
            <w:proofErr w:type="spellStart"/>
            <w:r w:rsidRPr="00EA12E7">
              <w:rPr>
                <w:rFonts w:eastAsia="Times New Roman" w:cs="Times New Roman"/>
                <w:kern w:val="0"/>
                <w:sz w:val="16"/>
                <w:szCs w:val="16"/>
                <w:lang w:eastAsia="et-EE"/>
                <w14:ligatures w14:val="none"/>
              </w:rPr>
              <w:t>abs</w:t>
            </w:r>
            <w:proofErr w:type="spellEnd"/>
            <w:r w:rsidRPr="00EA12E7">
              <w:rPr>
                <w:rFonts w:eastAsia="Times New Roman" w:cs="Times New Roman"/>
                <w:kern w:val="0"/>
                <w:sz w:val="16"/>
                <w:szCs w:val="16"/>
                <w:lang w:eastAsia="et-EE"/>
                <w14:ligatures w14:val="none"/>
              </w:rPr>
              <w:t>): |ΔNPV| / 1%</w:t>
            </w:r>
          </w:p>
        </w:tc>
        <w:tc>
          <w:tcPr>
            <w:tcW w:w="417" w:type="pct"/>
            <w:noWrap/>
            <w:hideMark/>
          </w:tcPr>
          <w:p w14:paraId="1EC11FF1" w14:textId="671B15E0" w:rsidR="000F51CF" w:rsidRPr="00EA12E7" w:rsidRDefault="00BD561F" w:rsidP="00BA7EA5">
            <w:pPr>
              <w:jc w:val="left"/>
              <w:rPr>
                <w:rFonts w:eastAsia="Times New Roman" w:cs="Times New Roman"/>
                <w:kern w:val="0"/>
                <w:sz w:val="16"/>
                <w:szCs w:val="16"/>
                <w:lang w:eastAsia="et-EE"/>
                <w14:ligatures w14:val="none"/>
              </w:rPr>
            </w:pPr>
            <w:r w:rsidRPr="00EA12E7">
              <w:rPr>
                <w:rFonts w:eastAsia="Times New Roman" w:cs="Times New Roman"/>
                <w:kern w:val="0"/>
                <w:sz w:val="16"/>
                <w:szCs w:val="16"/>
                <w:lang w:eastAsia="et-EE"/>
                <w14:ligatures w14:val="none"/>
              </w:rPr>
              <w:t>Tasuvuspiir</w:t>
            </w:r>
            <w:r w:rsidR="000F51CF" w:rsidRPr="00EA12E7">
              <w:rPr>
                <w:rFonts w:eastAsia="Times New Roman" w:cs="Times New Roman"/>
                <w:kern w:val="0"/>
                <w:sz w:val="16"/>
                <w:szCs w:val="16"/>
                <w:lang w:eastAsia="et-EE"/>
                <w14:ligatures w14:val="none"/>
              </w:rPr>
              <w:t xml:space="preserve"> (NPV=0)</w:t>
            </w:r>
          </w:p>
        </w:tc>
      </w:tr>
      <w:tr w:rsidR="00013AB7" w:rsidRPr="00EA12E7" w14:paraId="668081CF" w14:textId="77777777" w:rsidTr="008678C6">
        <w:trPr>
          <w:trHeight w:val="315"/>
        </w:trPr>
        <w:tc>
          <w:tcPr>
            <w:tcW w:w="341" w:type="pct"/>
            <w:shd w:val="clear" w:color="auto" w:fill="DAE9F7" w:themeFill="text2" w:themeFillTint="1A"/>
            <w:noWrap/>
            <w:hideMark/>
          </w:tcPr>
          <w:p w14:paraId="17EF0437"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Teenus1</w:t>
            </w:r>
          </w:p>
        </w:tc>
        <w:tc>
          <w:tcPr>
            <w:tcW w:w="1994" w:type="pct"/>
            <w:shd w:val="clear" w:color="auto" w:fill="DAE9F7" w:themeFill="text2" w:themeFillTint="1A"/>
            <w:hideMark/>
          </w:tcPr>
          <w:p w14:paraId="47816827"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Alginvesteering nõud - ühekordsed kulud</w:t>
            </w:r>
          </w:p>
        </w:tc>
        <w:tc>
          <w:tcPr>
            <w:tcW w:w="292" w:type="pct"/>
            <w:shd w:val="clear" w:color="auto" w:fill="DAE9F7" w:themeFill="text2" w:themeFillTint="1A"/>
            <w:noWrap/>
            <w:hideMark/>
          </w:tcPr>
          <w:p w14:paraId="4A858685"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shd w:val="clear" w:color="auto" w:fill="DAE9F7" w:themeFill="text2" w:themeFillTint="1A"/>
            <w:noWrap/>
            <w:hideMark/>
          </w:tcPr>
          <w:p w14:paraId="7F867ACC"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shd w:val="clear" w:color="auto" w:fill="DAE9F7" w:themeFill="text2" w:themeFillTint="1A"/>
            <w:noWrap/>
            <w:hideMark/>
          </w:tcPr>
          <w:p w14:paraId="6521E62F" w14:textId="7F8286E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368 573</w:t>
            </w:r>
          </w:p>
        </w:tc>
        <w:tc>
          <w:tcPr>
            <w:tcW w:w="340" w:type="pct"/>
            <w:shd w:val="clear" w:color="auto" w:fill="DAE9F7" w:themeFill="text2" w:themeFillTint="1A"/>
            <w:noWrap/>
            <w:hideMark/>
          </w:tcPr>
          <w:p w14:paraId="60887F80" w14:textId="2B1CF0A0"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shd w:val="clear" w:color="auto" w:fill="DAE9F7" w:themeFill="text2" w:themeFillTint="1A"/>
            <w:noWrap/>
            <w:hideMark/>
          </w:tcPr>
          <w:p w14:paraId="6F9036F3" w14:textId="32D8EE6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360 336</w:t>
            </w:r>
          </w:p>
        </w:tc>
        <w:tc>
          <w:tcPr>
            <w:tcW w:w="389" w:type="pct"/>
            <w:shd w:val="clear" w:color="auto" w:fill="DAE9F7" w:themeFill="text2" w:themeFillTint="1A"/>
            <w:noWrap/>
            <w:hideMark/>
          </w:tcPr>
          <w:p w14:paraId="0A99063C"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shd w:val="clear" w:color="auto" w:fill="DAE9F7" w:themeFill="text2" w:themeFillTint="1A"/>
            <w:noWrap/>
            <w:hideMark/>
          </w:tcPr>
          <w:p w14:paraId="2B90EC50" w14:textId="2C961854"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0,03</w:t>
            </w:r>
          </w:p>
        </w:tc>
        <w:tc>
          <w:tcPr>
            <w:tcW w:w="417" w:type="pct"/>
            <w:shd w:val="clear" w:color="auto" w:fill="DAE9F7" w:themeFill="text2" w:themeFillTint="1A"/>
            <w:noWrap/>
            <w:hideMark/>
          </w:tcPr>
          <w:p w14:paraId="71C67B99" w14:textId="0F4FB96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35,39</w:t>
            </w:r>
          </w:p>
        </w:tc>
      </w:tr>
      <w:tr w:rsidR="00013AB7" w:rsidRPr="00EA12E7" w14:paraId="2F751A16" w14:textId="77777777" w:rsidTr="008678C6">
        <w:trPr>
          <w:trHeight w:val="315"/>
        </w:trPr>
        <w:tc>
          <w:tcPr>
            <w:tcW w:w="341" w:type="pct"/>
            <w:noWrap/>
            <w:hideMark/>
          </w:tcPr>
          <w:p w14:paraId="6B00CB52"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188502ED"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Alginvesteering pesutehnika +  IT-komponendid - ühekordsed kulud</w:t>
            </w:r>
          </w:p>
        </w:tc>
        <w:tc>
          <w:tcPr>
            <w:tcW w:w="292" w:type="pct"/>
            <w:noWrap/>
            <w:hideMark/>
          </w:tcPr>
          <w:p w14:paraId="41CDF492"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152C60E7"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628E4BEB" w14:textId="5FDCE218"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378 131</w:t>
            </w:r>
          </w:p>
        </w:tc>
        <w:tc>
          <w:tcPr>
            <w:tcW w:w="340" w:type="pct"/>
            <w:noWrap/>
            <w:hideMark/>
          </w:tcPr>
          <w:p w14:paraId="08035396" w14:textId="5AC4484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02AA5379" w14:textId="567712E4"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350 778</w:t>
            </w:r>
          </w:p>
        </w:tc>
        <w:tc>
          <w:tcPr>
            <w:tcW w:w="389" w:type="pct"/>
            <w:noWrap/>
            <w:hideMark/>
          </w:tcPr>
          <w:p w14:paraId="5B51025A"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4DD415C8" w14:textId="71E82F7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0,09</w:t>
            </w:r>
          </w:p>
        </w:tc>
        <w:tc>
          <w:tcPr>
            <w:tcW w:w="417" w:type="pct"/>
            <w:noWrap/>
            <w:hideMark/>
          </w:tcPr>
          <w:p w14:paraId="5C547764" w14:textId="32912658"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10,66</w:t>
            </w:r>
          </w:p>
        </w:tc>
      </w:tr>
      <w:tr w:rsidR="00013AB7" w:rsidRPr="00EA12E7" w14:paraId="3226F7A6" w14:textId="77777777" w:rsidTr="008678C6">
        <w:trPr>
          <w:trHeight w:val="315"/>
        </w:trPr>
        <w:tc>
          <w:tcPr>
            <w:tcW w:w="341" w:type="pct"/>
            <w:noWrap/>
            <w:hideMark/>
          </w:tcPr>
          <w:p w14:paraId="3A7680E7"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6F3BFF9F"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Alginvesteering köögipinna ehitus/ümberehitus (kanalisatsioon)</w:t>
            </w:r>
          </w:p>
        </w:tc>
        <w:tc>
          <w:tcPr>
            <w:tcW w:w="292" w:type="pct"/>
            <w:noWrap/>
            <w:hideMark/>
          </w:tcPr>
          <w:p w14:paraId="6BCA7191"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5073BCCA"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031E67A1" w14:textId="30B0DB40"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378 854</w:t>
            </w:r>
          </w:p>
        </w:tc>
        <w:tc>
          <w:tcPr>
            <w:tcW w:w="340" w:type="pct"/>
            <w:noWrap/>
            <w:hideMark/>
          </w:tcPr>
          <w:p w14:paraId="407A4196" w14:textId="760D009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2D32F6E1" w14:textId="1F8AF73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350 054</w:t>
            </w:r>
          </w:p>
        </w:tc>
        <w:tc>
          <w:tcPr>
            <w:tcW w:w="389" w:type="pct"/>
            <w:noWrap/>
            <w:hideMark/>
          </w:tcPr>
          <w:p w14:paraId="1735E8FD"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0A37DDD2" w14:textId="086CAFF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0,10</w:t>
            </w:r>
          </w:p>
        </w:tc>
        <w:tc>
          <w:tcPr>
            <w:tcW w:w="417" w:type="pct"/>
            <w:noWrap/>
            <w:hideMark/>
          </w:tcPr>
          <w:p w14:paraId="1C4585B3" w14:textId="041F29DD"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10,12</w:t>
            </w:r>
          </w:p>
        </w:tc>
      </w:tr>
      <w:tr w:rsidR="00013AB7" w:rsidRPr="00EA12E7" w14:paraId="5BACAE06" w14:textId="77777777" w:rsidTr="008678C6">
        <w:trPr>
          <w:trHeight w:val="315"/>
        </w:trPr>
        <w:tc>
          <w:tcPr>
            <w:tcW w:w="341" w:type="pct"/>
            <w:noWrap/>
            <w:hideMark/>
          </w:tcPr>
          <w:p w14:paraId="1BF76A0F"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7DAC7140"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Alginvesteering lisaruumi sisustamine / riiulid / ventilatsioon</w:t>
            </w:r>
          </w:p>
        </w:tc>
        <w:tc>
          <w:tcPr>
            <w:tcW w:w="292" w:type="pct"/>
            <w:noWrap/>
            <w:hideMark/>
          </w:tcPr>
          <w:p w14:paraId="5B81A01B"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16E80F64"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5FA3322A" w14:textId="5AC20BD8"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371 054</w:t>
            </w:r>
          </w:p>
        </w:tc>
        <w:tc>
          <w:tcPr>
            <w:tcW w:w="340" w:type="pct"/>
            <w:noWrap/>
            <w:hideMark/>
          </w:tcPr>
          <w:p w14:paraId="12C85000" w14:textId="6BF3507D"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29B1C234" w14:textId="3B87C5D3"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357 854</w:t>
            </w:r>
          </w:p>
        </w:tc>
        <w:tc>
          <w:tcPr>
            <w:tcW w:w="389" w:type="pct"/>
            <w:noWrap/>
            <w:hideMark/>
          </w:tcPr>
          <w:p w14:paraId="23741331"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37111186" w14:textId="5F851FB0"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0,05</w:t>
            </w:r>
          </w:p>
        </w:tc>
        <w:tc>
          <w:tcPr>
            <w:tcW w:w="417" w:type="pct"/>
            <w:noWrap/>
            <w:hideMark/>
          </w:tcPr>
          <w:p w14:paraId="24DA098A" w14:textId="1E6CE31C"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22,09</w:t>
            </w:r>
          </w:p>
        </w:tc>
      </w:tr>
      <w:tr w:rsidR="00013AB7" w:rsidRPr="00EA12E7" w14:paraId="25B36E9E" w14:textId="77777777" w:rsidTr="008678C6">
        <w:trPr>
          <w:trHeight w:val="315"/>
        </w:trPr>
        <w:tc>
          <w:tcPr>
            <w:tcW w:w="341" w:type="pct"/>
            <w:noWrap/>
            <w:hideMark/>
          </w:tcPr>
          <w:p w14:paraId="0A9D138B"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47037C89"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pesu – vesi</w:t>
            </w:r>
          </w:p>
        </w:tc>
        <w:tc>
          <w:tcPr>
            <w:tcW w:w="292" w:type="pct"/>
            <w:noWrap/>
            <w:hideMark/>
          </w:tcPr>
          <w:p w14:paraId="6BCD60B8"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41046197"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6020A350" w14:textId="05C39F3F"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364 733</w:t>
            </w:r>
          </w:p>
        </w:tc>
        <w:tc>
          <w:tcPr>
            <w:tcW w:w="340" w:type="pct"/>
            <w:noWrap/>
            <w:hideMark/>
          </w:tcPr>
          <w:p w14:paraId="5F261C83" w14:textId="50B4DE3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5420AF5F" w14:textId="3323DEB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364 176</w:t>
            </w:r>
          </w:p>
        </w:tc>
        <w:tc>
          <w:tcPr>
            <w:tcW w:w="389" w:type="pct"/>
            <w:noWrap/>
            <w:hideMark/>
          </w:tcPr>
          <w:p w14:paraId="04F4AAEE"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394E10A7" w14:textId="3342F03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0,00</w:t>
            </w:r>
          </w:p>
        </w:tc>
        <w:tc>
          <w:tcPr>
            <w:tcW w:w="417" w:type="pct"/>
            <w:noWrap/>
            <w:hideMark/>
          </w:tcPr>
          <w:p w14:paraId="02E1A63F" w14:textId="1A6F8F0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261,89</w:t>
            </w:r>
          </w:p>
        </w:tc>
      </w:tr>
      <w:tr w:rsidR="00013AB7" w:rsidRPr="00EA12E7" w14:paraId="2D77F159" w14:textId="77777777" w:rsidTr="008678C6">
        <w:trPr>
          <w:trHeight w:val="315"/>
        </w:trPr>
        <w:tc>
          <w:tcPr>
            <w:tcW w:w="341" w:type="pct"/>
            <w:noWrap/>
            <w:hideMark/>
          </w:tcPr>
          <w:p w14:paraId="6FA771EC"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05CA695E"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pesu – elekter/aur</w:t>
            </w:r>
          </w:p>
        </w:tc>
        <w:tc>
          <w:tcPr>
            <w:tcW w:w="292" w:type="pct"/>
            <w:noWrap/>
            <w:hideMark/>
          </w:tcPr>
          <w:p w14:paraId="4138EDBA"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4004C359"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11C711D0" w14:textId="400131D0"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365 657</w:t>
            </w:r>
          </w:p>
        </w:tc>
        <w:tc>
          <w:tcPr>
            <w:tcW w:w="340" w:type="pct"/>
            <w:noWrap/>
            <w:hideMark/>
          </w:tcPr>
          <w:p w14:paraId="1D03224B" w14:textId="31653F95"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1C4766E6" w14:textId="34505DD1"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363 251</w:t>
            </w:r>
          </w:p>
        </w:tc>
        <w:tc>
          <w:tcPr>
            <w:tcW w:w="389" w:type="pct"/>
            <w:noWrap/>
            <w:hideMark/>
          </w:tcPr>
          <w:p w14:paraId="7A433C40"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006B5405" w14:textId="5AA88314"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0,02</w:t>
            </w:r>
          </w:p>
        </w:tc>
        <w:tc>
          <w:tcPr>
            <w:tcW w:w="417" w:type="pct"/>
            <w:noWrap/>
            <w:hideMark/>
          </w:tcPr>
          <w:p w14:paraId="30830588" w14:textId="542D7472"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60,59</w:t>
            </w:r>
          </w:p>
        </w:tc>
      </w:tr>
      <w:tr w:rsidR="00013AB7" w:rsidRPr="00EA12E7" w14:paraId="6A8BBDD8" w14:textId="77777777" w:rsidTr="008678C6">
        <w:trPr>
          <w:trHeight w:val="315"/>
        </w:trPr>
        <w:tc>
          <w:tcPr>
            <w:tcW w:w="341" w:type="pct"/>
            <w:noWrap/>
            <w:hideMark/>
          </w:tcPr>
          <w:p w14:paraId="6D72B87C"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651C6ABD"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pesu – pesuvahend</w:t>
            </w:r>
          </w:p>
        </w:tc>
        <w:tc>
          <w:tcPr>
            <w:tcW w:w="292" w:type="pct"/>
            <w:noWrap/>
            <w:hideMark/>
          </w:tcPr>
          <w:p w14:paraId="0E37B64C"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0A5928BA"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197C1401" w14:textId="50D311F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383 126</w:t>
            </w:r>
          </w:p>
        </w:tc>
        <w:tc>
          <w:tcPr>
            <w:tcW w:w="340" w:type="pct"/>
            <w:noWrap/>
            <w:hideMark/>
          </w:tcPr>
          <w:p w14:paraId="48183930" w14:textId="67BBA5C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6456C392" w14:textId="0F24B083"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345 783</w:t>
            </w:r>
          </w:p>
        </w:tc>
        <w:tc>
          <w:tcPr>
            <w:tcW w:w="389" w:type="pct"/>
            <w:noWrap/>
            <w:hideMark/>
          </w:tcPr>
          <w:p w14:paraId="6F99AFC6"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75F922CE" w14:textId="22C0176D"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0,26</w:t>
            </w:r>
          </w:p>
        </w:tc>
        <w:tc>
          <w:tcPr>
            <w:tcW w:w="417" w:type="pct"/>
            <w:noWrap/>
            <w:hideMark/>
          </w:tcPr>
          <w:p w14:paraId="71B93DFB" w14:textId="1A8D81BA"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3,90</w:t>
            </w:r>
          </w:p>
        </w:tc>
      </w:tr>
      <w:tr w:rsidR="00013AB7" w:rsidRPr="00EA12E7" w14:paraId="38604B7F" w14:textId="77777777" w:rsidTr="008678C6">
        <w:trPr>
          <w:trHeight w:val="315"/>
        </w:trPr>
        <w:tc>
          <w:tcPr>
            <w:tcW w:w="341" w:type="pct"/>
            <w:noWrap/>
            <w:hideMark/>
          </w:tcPr>
          <w:p w14:paraId="0DFEE475"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068F1FF1"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tööjõud &amp; hooldus</w:t>
            </w:r>
          </w:p>
        </w:tc>
        <w:tc>
          <w:tcPr>
            <w:tcW w:w="292" w:type="pct"/>
            <w:noWrap/>
            <w:hideMark/>
          </w:tcPr>
          <w:p w14:paraId="3BC9264F"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2ECF82A9"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69D45EB1" w14:textId="0D4CC1CA"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379 973</w:t>
            </w:r>
          </w:p>
        </w:tc>
        <w:tc>
          <w:tcPr>
            <w:tcW w:w="340" w:type="pct"/>
            <w:noWrap/>
            <w:hideMark/>
          </w:tcPr>
          <w:p w14:paraId="13418937" w14:textId="7626816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5439BF72" w14:textId="253EC74C"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348 936</w:t>
            </w:r>
          </w:p>
        </w:tc>
        <w:tc>
          <w:tcPr>
            <w:tcW w:w="389" w:type="pct"/>
            <w:noWrap/>
            <w:hideMark/>
          </w:tcPr>
          <w:p w14:paraId="467268A8"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2E25D29E" w14:textId="073D78E3"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0,21</w:t>
            </w:r>
          </w:p>
        </w:tc>
        <w:tc>
          <w:tcPr>
            <w:tcW w:w="417" w:type="pct"/>
            <w:noWrap/>
            <w:hideMark/>
          </w:tcPr>
          <w:p w14:paraId="7C0DCC37" w14:textId="0E7113FC"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4,70</w:t>
            </w:r>
          </w:p>
        </w:tc>
      </w:tr>
      <w:tr w:rsidR="00013AB7" w:rsidRPr="00EA12E7" w14:paraId="5C96EF75" w14:textId="77777777" w:rsidTr="008678C6">
        <w:trPr>
          <w:trHeight w:val="315"/>
        </w:trPr>
        <w:tc>
          <w:tcPr>
            <w:tcW w:w="341" w:type="pct"/>
            <w:noWrap/>
            <w:hideMark/>
          </w:tcPr>
          <w:p w14:paraId="613D282B"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023ADC15" w14:textId="4F921C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kogumine ja sorteerimine</w:t>
            </w:r>
          </w:p>
        </w:tc>
        <w:tc>
          <w:tcPr>
            <w:tcW w:w="292" w:type="pct"/>
            <w:noWrap/>
            <w:hideMark/>
          </w:tcPr>
          <w:p w14:paraId="2719B8AB"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20CE43F4"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2411AB3A" w14:textId="1719500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371 487</w:t>
            </w:r>
          </w:p>
        </w:tc>
        <w:tc>
          <w:tcPr>
            <w:tcW w:w="340" w:type="pct"/>
            <w:noWrap/>
            <w:hideMark/>
          </w:tcPr>
          <w:p w14:paraId="54E2A3C4" w14:textId="0BBBB1D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15B16BED" w14:textId="2540A70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357 422</w:t>
            </w:r>
          </w:p>
        </w:tc>
        <w:tc>
          <w:tcPr>
            <w:tcW w:w="389" w:type="pct"/>
            <w:noWrap/>
            <w:hideMark/>
          </w:tcPr>
          <w:p w14:paraId="52860EC8"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7BF1E485" w14:textId="04AFD0E6"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0,10</w:t>
            </w:r>
          </w:p>
        </w:tc>
        <w:tc>
          <w:tcPr>
            <w:tcW w:w="417" w:type="pct"/>
            <w:noWrap/>
            <w:hideMark/>
          </w:tcPr>
          <w:p w14:paraId="09D8C8AB" w14:textId="78746281"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10,36</w:t>
            </w:r>
          </w:p>
        </w:tc>
      </w:tr>
      <w:tr w:rsidR="00013AB7" w:rsidRPr="00EA12E7" w14:paraId="57C786EB" w14:textId="77777777" w:rsidTr="008678C6">
        <w:trPr>
          <w:trHeight w:val="315"/>
        </w:trPr>
        <w:tc>
          <w:tcPr>
            <w:tcW w:w="341" w:type="pct"/>
            <w:noWrap/>
            <w:hideMark/>
          </w:tcPr>
          <w:p w14:paraId="256D4335"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hideMark/>
          </w:tcPr>
          <w:p w14:paraId="6BB80AB7"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kadu/purunemine asendus</w:t>
            </w:r>
          </w:p>
        </w:tc>
        <w:tc>
          <w:tcPr>
            <w:tcW w:w="292" w:type="pct"/>
            <w:noWrap/>
            <w:hideMark/>
          </w:tcPr>
          <w:p w14:paraId="0E7FECBE"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5CA9FBFB"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1,5</w:t>
            </w:r>
          </w:p>
        </w:tc>
        <w:tc>
          <w:tcPr>
            <w:tcW w:w="340" w:type="pct"/>
            <w:noWrap/>
            <w:hideMark/>
          </w:tcPr>
          <w:p w14:paraId="0034A68D" w14:textId="3B702095"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370 557</w:t>
            </w:r>
          </w:p>
        </w:tc>
        <w:tc>
          <w:tcPr>
            <w:tcW w:w="340" w:type="pct"/>
            <w:noWrap/>
            <w:hideMark/>
          </w:tcPr>
          <w:p w14:paraId="7EE624F1" w14:textId="7F651663"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noWrap/>
            <w:hideMark/>
          </w:tcPr>
          <w:p w14:paraId="5E243AD2" w14:textId="27178CCD"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349 199</w:t>
            </w:r>
          </w:p>
        </w:tc>
        <w:tc>
          <w:tcPr>
            <w:tcW w:w="389" w:type="pct"/>
            <w:noWrap/>
            <w:hideMark/>
          </w:tcPr>
          <w:p w14:paraId="2EF16986"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D</w:t>
            </w:r>
          </w:p>
        </w:tc>
        <w:tc>
          <w:tcPr>
            <w:tcW w:w="302" w:type="pct"/>
            <w:noWrap/>
            <w:hideMark/>
          </w:tcPr>
          <w:p w14:paraId="7E6A0E58" w14:textId="23D70E7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0,08</w:t>
            </w:r>
          </w:p>
        </w:tc>
        <w:tc>
          <w:tcPr>
            <w:tcW w:w="417" w:type="pct"/>
            <w:noWrap/>
            <w:hideMark/>
          </w:tcPr>
          <w:p w14:paraId="45B54FE9" w14:textId="5F527A7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11,94</w:t>
            </w:r>
          </w:p>
        </w:tc>
      </w:tr>
      <w:tr w:rsidR="00013AB7" w:rsidRPr="00EA12E7" w14:paraId="3C387BA1" w14:textId="77777777" w:rsidTr="008678C6">
        <w:trPr>
          <w:trHeight w:val="315"/>
        </w:trPr>
        <w:tc>
          <w:tcPr>
            <w:tcW w:w="341" w:type="pct"/>
            <w:tcBorders>
              <w:bottom w:val="single" w:sz="4" w:space="0" w:color="0072BF"/>
            </w:tcBorders>
            <w:noWrap/>
            <w:hideMark/>
          </w:tcPr>
          <w:p w14:paraId="1C8FC714"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tcBorders>
              <w:bottom w:val="single" w:sz="4" w:space="0" w:color="0072BF"/>
            </w:tcBorders>
            <w:hideMark/>
          </w:tcPr>
          <w:p w14:paraId="52D51EB6"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pakendite asenduskulu eluea lõpus</w:t>
            </w:r>
          </w:p>
        </w:tc>
        <w:tc>
          <w:tcPr>
            <w:tcW w:w="292" w:type="pct"/>
            <w:tcBorders>
              <w:bottom w:val="single" w:sz="4" w:space="0" w:color="0072BF"/>
            </w:tcBorders>
            <w:noWrap/>
            <w:hideMark/>
          </w:tcPr>
          <w:p w14:paraId="5507FACA"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tcBorders>
              <w:bottom w:val="single" w:sz="4" w:space="0" w:color="0072BF"/>
            </w:tcBorders>
            <w:noWrap/>
            <w:hideMark/>
          </w:tcPr>
          <w:p w14:paraId="2E2D0CF2"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tcBorders>
              <w:bottom w:val="single" w:sz="4" w:space="0" w:color="0072BF"/>
            </w:tcBorders>
            <w:noWrap/>
            <w:hideMark/>
          </w:tcPr>
          <w:p w14:paraId="11567988" w14:textId="779D39D0"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449 626</w:t>
            </w:r>
          </w:p>
        </w:tc>
        <w:tc>
          <w:tcPr>
            <w:tcW w:w="340" w:type="pct"/>
            <w:tcBorders>
              <w:bottom w:val="single" w:sz="4" w:space="0" w:color="0072BF"/>
            </w:tcBorders>
            <w:noWrap/>
            <w:hideMark/>
          </w:tcPr>
          <w:p w14:paraId="3D81132C" w14:textId="0A3BD244"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tcBorders>
              <w:bottom w:val="single" w:sz="4" w:space="0" w:color="0072BF"/>
            </w:tcBorders>
            <w:noWrap/>
            <w:hideMark/>
          </w:tcPr>
          <w:p w14:paraId="1BC964BD" w14:textId="39020F19"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279 283</w:t>
            </w:r>
          </w:p>
        </w:tc>
        <w:tc>
          <w:tcPr>
            <w:tcW w:w="389" w:type="pct"/>
            <w:tcBorders>
              <w:bottom w:val="single" w:sz="4" w:space="0" w:color="0072BF"/>
            </w:tcBorders>
            <w:noWrap/>
            <w:hideMark/>
          </w:tcPr>
          <w:p w14:paraId="182A73C4" w14:textId="77777777"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tcBorders>
              <w:bottom w:val="single" w:sz="4" w:space="0" w:color="0072BF"/>
            </w:tcBorders>
            <w:noWrap/>
            <w:hideMark/>
          </w:tcPr>
          <w:p w14:paraId="2FA7D629" w14:textId="7186F894"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0,58</w:t>
            </w:r>
          </w:p>
        </w:tc>
        <w:tc>
          <w:tcPr>
            <w:tcW w:w="417" w:type="pct"/>
            <w:tcBorders>
              <w:bottom w:val="single" w:sz="4" w:space="0" w:color="0072BF"/>
            </w:tcBorders>
            <w:noWrap/>
            <w:hideMark/>
          </w:tcPr>
          <w:p w14:paraId="54CF9FF6" w14:textId="6DF069D1"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1,71</w:t>
            </w:r>
          </w:p>
        </w:tc>
      </w:tr>
      <w:tr w:rsidR="00013AB7" w:rsidRPr="00EA12E7" w14:paraId="585EE50A" w14:textId="77777777" w:rsidTr="008678C6">
        <w:trPr>
          <w:trHeight w:val="315"/>
        </w:trPr>
        <w:tc>
          <w:tcPr>
            <w:tcW w:w="341" w:type="pct"/>
            <w:tcBorders>
              <w:bottom w:val="single" w:sz="4" w:space="0" w:color="auto"/>
            </w:tcBorders>
            <w:noWrap/>
            <w:hideMark/>
          </w:tcPr>
          <w:p w14:paraId="5DEBB278" w14:textId="77777777" w:rsidR="00013AB7" w:rsidRPr="00EA12E7" w:rsidRDefault="00013AB7" w:rsidP="00013AB7">
            <w:pPr>
              <w:jc w:val="right"/>
              <w:rPr>
                <w:rFonts w:eastAsia="Times New Roman" w:cs="Times New Roman"/>
                <w:color w:val="000000"/>
                <w:kern w:val="0"/>
                <w:sz w:val="16"/>
                <w:szCs w:val="16"/>
                <w:lang w:eastAsia="et-EE"/>
                <w14:ligatures w14:val="none"/>
              </w:rPr>
            </w:pPr>
          </w:p>
        </w:tc>
        <w:tc>
          <w:tcPr>
            <w:tcW w:w="1994" w:type="pct"/>
            <w:tcBorders>
              <w:bottom w:val="single" w:sz="4" w:space="0" w:color="auto"/>
            </w:tcBorders>
            <w:hideMark/>
          </w:tcPr>
          <w:p w14:paraId="362A7D69" w14:textId="22548962"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jäätmed (korduskasutus)</w:t>
            </w:r>
          </w:p>
        </w:tc>
        <w:tc>
          <w:tcPr>
            <w:tcW w:w="292" w:type="pct"/>
            <w:tcBorders>
              <w:bottom w:val="single" w:sz="4" w:space="0" w:color="auto"/>
            </w:tcBorders>
            <w:noWrap/>
            <w:hideMark/>
          </w:tcPr>
          <w:p w14:paraId="1719FA7E" w14:textId="1EA2DA9B"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tcBorders>
              <w:bottom w:val="single" w:sz="4" w:space="0" w:color="auto"/>
            </w:tcBorders>
            <w:noWrap/>
            <w:hideMark/>
          </w:tcPr>
          <w:p w14:paraId="5AAB62FA" w14:textId="3C6BA5BA"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tcBorders>
              <w:bottom w:val="single" w:sz="4" w:space="0" w:color="auto"/>
            </w:tcBorders>
            <w:noWrap/>
            <w:hideMark/>
          </w:tcPr>
          <w:p w14:paraId="7C00FB4A" w14:textId="052CB86E"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365 719</w:t>
            </w:r>
          </w:p>
        </w:tc>
        <w:tc>
          <w:tcPr>
            <w:tcW w:w="340" w:type="pct"/>
            <w:tcBorders>
              <w:bottom w:val="single" w:sz="4" w:space="0" w:color="auto"/>
            </w:tcBorders>
            <w:noWrap/>
            <w:hideMark/>
          </w:tcPr>
          <w:p w14:paraId="4CB54A5B" w14:textId="240837FC"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364 454</w:t>
            </w:r>
          </w:p>
        </w:tc>
        <w:tc>
          <w:tcPr>
            <w:tcW w:w="341" w:type="pct"/>
            <w:tcBorders>
              <w:bottom w:val="single" w:sz="4" w:space="0" w:color="auto"/>
            </w:tcBorders>
            <w:noWrap/>
            <w:hideMark/>
          </w:tcPr>
          <w:p w14:paraId="61F2644A" w14:textId="60BBC396"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363 190</w:t>
            </w:r>
          </w:p>
        </w:tc>
        <w:tc>
          <w:tcPr>
            <w:tcW w:w="389" w:type="pct"/>
            <w:tcBorders>
              <w:bottom w:val="single" w:sz="4" w:space="0" w:color="auto"/>
            </w:tcBorders>
            <w:noWrap/>
            <w:hideMark/>
          </w:tcPr>
          <w:p w14:paraId="2AFE65EB" w14:textId="49AF752A" w:rsidR="00013AB7" w:rsidRPr="00EA12E7" w:rsidRDefault="00013AB7"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tcBorders>
              <w:bottom w:val="single" w:sz="4" w:space="0" w:color="auto"/>
            </w:tcBorders>
            <w:noWrap/>
            <w:hideMark/>
          </w:tcPr>
          <w:p w14:paraId="7C98A596" w14:textId="788714AA" w:rsidR="00013AB7" w:rsidRPr="00EA12E7" w:rsidRDefault="00013AB7" w:rsidP="00013AB7">
            <w:pPr>
              <w:jc w:val="left"/>
              <w:rPr>
                <w:rFonts w:eastAsia="Times New Roman" w:cs="Times New Roman"/>
                <w:color w:val="000000"/>
                <w:kern w:val="0"/>
                <w:sz w:val="16"/>
                <w:szCs w:val="16"/>
                <w:lang w:eastAsia="et-EE"/>
                <w14:ligatures w14:val="none"/>
              </w:rPr>
            </w:pPr>
            <w:r w:rsidRPr="00EA12E7">
              <w:rPr>
                <w:sz w:val="16"/>
                <w:szCs w:val="16"/>
              </w:rPr>
              <w:t>0,02</w:t>
            </w:r>
          </w:p>
        </w:tc>
        <w:tc>
          <w:tcPr>
            <w:tcW w:w="417" w:type="pct"/>
            <w:tcBorders>
              <w:bottom w:val="single" w:sz="4" w:space="0" w:color="auto"/>
            </w:tcBorders>
            <w:noWrap/>
            <w:hideMark/>
          </w:tcPr>
          <w:p w14:paraId="071554B2" w14:textId="081BA313" w:rsidR="00013AB7" w:rsidRPr="00EA12E7" w:rsidRDefault="001A74C9" w:rsidP="00013AB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57,64</w:t>
            </w:r>
          </w:p>
        </w:tc>
      </w:tr>
      <w:tr w:rsidR="001A74C9" w:rsidRPr="00EA12E7" w14:paraId="3BE9DFBB" w14:textId="77777777" w:rsidTr="008678C6">
        <w:trPr>
          <w:trHeight w:val="315"/>
        </w:trPr>
        <w:tc>
          <w:tcPr>
            <w:tcW w:w="341" w:type="pct"/>
            <w:tcBorders>
              <w:top w:val="single" w:sz="4" w:space="0" w:color="auto"/>
            </w:tcBorders>
            <w:noWrap/>
            <w:hideMark/>
          </w:tcPr>
          <w:p w14:paraId="4B858933" w14:textId="77777777" w:rsidR="001A74C9" w:rsidRPr="00EA12E7" w:rsidRDefault="001A74C9" w:rsidP="001A74C9">
            <w:pPr>
              <w:jc w:val="left"/>
              <w:rPr>
                <w:rFonts w:eastAsia="Times New Roman" w:cs="Times New Roman"/>
                <w:kern w:val="0"/>
                <w:sz w:val="16"/>
                <w:szCs w:val="16"/>
                <w:lang w:eastAsia="et-EE"/>
                <w14:ligatures w14:val="none"/>
              </w:rPr>
            </w:pPr>
          </w:p>
        </w:tc>
        <w:tc>
          <w:tcPr>
            <w:tcW w:w="1994" w:type="pct"/>
            <w:tcBorders>
              <w:top w:val="single" w:sz="4" w:space="0" w:color="auto"/>
            </w:tcBorders>
            <w:hideMark/>
          </w:tcPr>
          <w:p w14:paraId="5CED37D3" w14:textId="12E276D7"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logistika (kogumine/vedu)</w:t>
            </w:r>
          </w:p>
        </w:tc>
        <w:tc>
          <w:tcPr>
            <w:tcW w:w="292" w:type="pct"/>
            <w:tcBorders>
              <w:top w:val="single" w:sz="4" w:space="0" w:color="auto"/>
            </w:tcBorders>
            <w:noWrap/>
            <w:hideMark/>
          </w:tcPr>
          <w:p w14:paraId="138392BD" w14:textId="333AB6B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tcBorders>
              <w:top w:val="single" w:sz="4" w:space="0" w:color="auto"/>
            </w:tcBorders>
            <w:noWrap/>
            <w:hideMark/>
          </w:tcPr>
          <w:p w14:paraId="39A12484" w14:textId="36D8C0DB"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tcBorders>
              <w:top w:val="single" w:sz="4" w:space="0" w:color="auto"/>
            </w:tcBorders>
            <w:noWrap/>
            <w:hideMark/>
          </w:tcPr>
          <w:p w14:paraId="7602BD35" w14:textId="23070816"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-654 509</w:t>
            </w:r>
          </w:p>
        </w:tc>
        <w:tc>
          <w:tcPr>
            <w:tcW w:w="340" w:type="pct"/>
            <w:tcBorders>
              <w:top w:val="single" w:sz="4" w:space="0" w:color="auto"/>
            </w:tcBorders>
            <w:noWrap/>
            <w:hideMark/>
          </w:tcPr>
          <w:p w14:paraId="6221919D" w14:textId="7BBF5B0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tcBorders>
              <w:top w:val="single" w:sz="4" w:space="0" w:color="auto"/>
            </w:tcBorders>
            <w:noWrap/>
            <w:hideMark/>
          </w:tcPr>
          <w:p w14:paraId="3CDC1B83" w14:textId="634F4ED8"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-810 310</w:t>
            </w:r>
          </w:p>
        </w:tc>
        <w:tc>
          <w:tcPr>
            <w:tcW w:w="389" w:type="pct"/>
            <w:tcBorders>
              <w:top w:val="single" w:sz="4" w:space="0" w:color="auto"/>
            </w:tcBorders>
            <w:noWrap/>
            <w:hideMark/>
          </w:tcPr>
          <w:p w14:paraId="63184482" w14:textId="10577BC6"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tcBorders>
              <w:top w:val="single" w:sz="4" w:space="0" w:color="auto"/>
            </w:tcBorders>
            <w:noWrap/>
            <w:hideMark/>
          </w:tcPr>
          <w:p w14:paraId="350919DA" w14:textId="2C642962"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0,53</w:t>
            </w:r>
          </w:p>
        </w:tc>
        <w:tc>
          <w:tcPr>
            <w:tcW w:w="417" w:type="pct"/>
            <w:tcBorders>
              <w:top w:val="single" w:sz="4" w:space="0" w:color="auto"/>
            </w:tcBorders>
            <w:noWrap/>
            <w:hideMark/>
          </w:tcPr>
          <w:p w14:paraId="393185E1" w14:textId="0FC0A88F"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-1,88</w:t>
            </w:r>
          </w:p>
        </w:tc>
      </w:tr>
      <w:tr w:rsidR="001A74C9" w:rsidRPr="00EA12E7" w14:paraId="1E55CD0B" w14:textId="77777777" w:rsidTr="008678C6">
        <w:trPr>
          <w:trHeight w:val="300"/>
        </w:trPr>
        <w:tc>
          <w:tcPr>
            <w:tcW w:w="341" w:type="pct"/>
            <w:noWrap/>
            <w:hideMark/>
          </w:tcPr>
          <w:p w14:paraId="1638DE5B"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1EB6FF3C" w14:textId="7F6386E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pesu (vesi; elekter/aur; pesuvahend; tööjõud; hooldus)</w:t>
            </w:r>
          </w:p>
        </w:tc>
        <w:tc>
          <w:tcPr>
            <w:tcW w:w="292" w:type="pct"/>
            <w:noWrap/>
            <w:hideMark/>
          </w:tcPr>
          <w:p w14:paraId="6D6A60C8" w14:textId="0E4D1212"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250FDD82" w14:textId="4AA19814"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6CB179A6" w14:textId="6917B9B7"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-596 411</w:t>
            </w:r>
          </w:p>
        </w:tc>
        <w:tc>
          <w:tcPr>
            <w:tcW w:w="340" w:type="pct"/>
            <w:noWrap/>
            <w:hideMark/>
          </w:tcPr>
          <w:p w14:paraId="6F94C2B3" w14:textId="020BC230"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38FE2E5C" w14:textId="6D5DC12E"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-868 409</w:t>
            </w:r>
          </w:p>
        </w:tc>
        <w:tc>
          <w:tcPr>
            <w:tcW w:w="389" w:type="pct"/>
            <w:noWrap/>
            <w:hideMark/>
          </w:tcPr>
          <w:p w14:paraId="0A455777" w14:textId="7DC15B76"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2139341E" w14:textId="6A1C47BC"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0,93</w:t>
            </w:r>
          </w:p>
        </w:tc>
        <w:tc>
          <w:tcPr>
            <w:tcW w:w="417" w:type="pct"/>
            <w:noWrap/>
            <w:hideMark/>
          </w:tcPr>
          <w:p w14:paraId="2A912C1B" w14:textId="7B3BFAAE"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-1,08</w:t>
            </w:r>
          </w:p>
        </w:tc>
      </w:tr>
      <w:tr w:rsidR="001A74C9" w:rsidRPr="00EA12E7" w14:paraId="73588AFF" w14:textId="77777777" w:rsidTr="008678C6">
        <w:trPr>
          <w:trHeight w:val="300"/>
        </w:trPr>
        <w:tc>
          <w:tcPr>
            <w:tcW w:w="341" w:type="pct"/>
            <w:noWrap/>
            <w:hideMark/>
          </w:tcPr>
          <w:p w14:paraId="5CA7F28A"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32108647" w14:textId="5615EAC7"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pakendite asenduskulu eluea lõpus</w:t>
            </w:r>
          </w:p>
        </w:tc>
        <w:tc>
          <w:tcPr>
            <w:tcW w:w="292" w:type="pct"/>
            <w:noWrap/>
            <w:hideMark/>
          </w:tcPr>
          <w:p w14:paraId="3EFC2C15" w14:textId="2964A7C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6B33F6BF" w14:textId="3FAA661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438DE46A" w14:textId="76A98A60"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-647 238</w:t>
            </w:r>
          </w:p>
        </w:tc>
        <w:tc>
          <w:tcPr>
            <w:tcW w:w="340" w:type="pct"/>
            <w:noWrap/>
            <w:hideMark/>
          </w:tcPr>
          <w:p w14:paraId="3580870F" w14:textId="4EF0D664"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1ECA080B" w14:textId="0A4918F1"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-817 581</w:t>
            </w:r>
          </w:p>
        </w:tc>
        <w:tc>
          <w:tcPr>
            <w:tcW w:w="389" w:type="pct"/>
            <w:noWrap/>
            <w:hideMark/>
          </w:tcPr>
          <w:p w14:paraId="47A34D4F" w14:textId="5620554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5ED9BC32" w14:textId="3D83EEF6"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0,29</w:t>
            </w:r>
          </w:p>
        </w:tc>
        <w:tc>
          <w:tcPr>
            <w:tcW w:w="417" w:type="pct"/>
            <w:noWrap/>
            <w:hideMark/>
          </w:tcPr>
          <w:p w14:paraId="6215A49A" w14:textId="513D8E1F"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-3,44</w:t>
            </w:r>
          </w:p>
        </w:tc>
      </w:tr>
      <w:tr w:rsidR="001A74C9" w:rsidRPr="00EA12E7" w14:paraId="5BAA14B6" w14:textId="77777777" w:rsidTr="008678C6">
        <w:trPr>
          <w:trHeight w:val="300"/>
        </w:trPr>
        <w:tc>
          <w:tcPr>
            <w:tcW w:w="341" w:type="pct"/>
            <w:noWrap/>
            <w:hideMark/>
          </w:tcPr>
          <w:p w14:paraId="26D95DC9"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7BEFB950" w14:textId="27E1DC66"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kadu/purunemine asendus</w:t>
            </w:r>
          </w:p>
        </w:tc>
        <w:tc>
          <w:tcPr>
            <w:tcW w:w="292" w:type="pct"/>
            <w:noWrap/>
            <w:hideMark/>
          </w:tcPr>
          <w:p w14:paraId="36A53556" w14:textId="50EB2A44"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7AFC0712" w14:textId="5AC4C09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1,5</w:t>
            </w:r>
          </w:p>
        </w:tc>
        <w:tc>
          <w:tcPr>
            <w:tcW w:w="340" w:type="pct"/>
            <w:noWrap/>
            <w:hideMark/>
          </w:tcPr>
          <w:p w14:paraId="31A82DC8" w14:textId="27E514C0"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-726 308</w:t>
            </w:r>
          </w:p>
        </w:tc>
        <w:tc>
          <w:tcPr>
            <w:tcW w:w="340" w:type="pct"/>
            <w:noWrap/>
            <w:hideMark/>
          </w:tcPr>
          <w:p w14:paraId="1BF12F65" w14:textId="02CB0892"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0EB3F216" w14:textId="25A674E4"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-747 665</w:t>
            </w:r>
          </w:p>
        </w:tc>
        <w:tc>
          <w:tcPr>
            <w:tcW w:w="389" w:type="pct"/>
            <w:noWrap/>
            <w:hideMark/>
          </w:tcPr>
          <w:p w14:paraId="285AF8E8" w14:textId="70EC4A8C"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D</w:t>
            </w:r>
          </w:p>
        </w:tc>
        <w:tc>
          <w:tcPr>
            <w:tcW w:w="302" w:type="pct"/>
            <w:noWrap/>
            <w:hideMark/>
          </w:tcPr>
          <w:p w14:paraId="450B97A0" w14:textId="50E06271"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0,04</w:t>
            </w:r>
          </w:p>
        </w:tc>
        <w:tc>
          <w:tcPr>
            <w:tcW w:w="417" w:type="pct"/>
            <w:noWrap/>
            <w:hideMark/>
          </w:tcPr>
          <w:p w14:paraId="68C4A991" w14:textId="4290058F"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-24,00</w:t>
            </w:r>
          </w:p>
        </w:tc>
      </w:tr>
      <w:tr w:rsidR="001A74C9" w:rsidRPr="00EA12E7" w14:paraId="7716FDE8" w14:textId="77777777" w:rsidTr="008678C6">
        <w:trPr>
          <w:trHeight w:val="300"/>
        </w:trPr>
        <w:tc>
          <w:tcPr>
            <w:tcW w:w="341" w:type="pct"/>
            <w:noWrap/>
            <w:hideMark/>
          </w:tcPr>
          <w:p w14:paraId="26E97FAE"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66D40FD3" w14:textId="2886A77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 xml:space="preserve">III muud kulud (turundus, koolitus, </w:t>
            </w:r>
            <w:r w:rsidR="00934F0F">
              <w:rPr>
                <w:rFonts w:eastAsia="Times New Roman" w:cs="Times New Roman"/>
                <w:color w:val="000000"/>
                <w:kern w:val="0"/>
                <w:sz w:val="16"/>
                <w:szCs w:val="16"/>
                <w:lang w:eastAsia="et-EE"/>
                <w14:ligatures w14:val="none"/>
              </w:rPr>
              <w:t>v</w:t>
            </w:r>
            <w:r w:rsidRPr="00EA12E7">
              <w:rPr>
                <w:rFonts w:eastAsia="Times New Roman" w:cs="Times New Roman"/>
                <w:color w:val="000000"/>
                <w:kern w:val="0"/>
                <w:sz w:val="16"/>
                <w:szCs w:val="16"/>
                <w:lang w:eastAsia="et-EE"/>
                <w14:ligatures w14:val="none"/>
              </w:rPr>
              <w:t>arude haldus)</w:t>
            </w:r>
          </w:p>
        </w:tc>
        <w:tc>
          <w:tcPr>
            <w:tcW w:w="292" w:type="pct"/>
            <w:noWrap/>
            <w:hideMark/>
          </w:tcPr>
          <w:p w14:paraId="706FF4C8" w14:textId="6E4AE5E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120E8269" w14:textId="3455B702"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51ADC365" w14:textId="48B34358"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-706 443</w:t>
            </w:r>
          </w:p>
        </w:tc>
        <w:tc>
          <w:tcPr>
            <w:tcW w:w="340" w:type="pct"/>
            <w:noWrap/>
            <w:hideMark/>
          </w:tcPr>
          <w:p w14:paraId="122DDDF3" w14:textId="38C3B2A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04A8681B" w14:textId="142D7C0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-758 377</w:t>
            </w:r>
          </w:p>
        </w:tc>
        <w:tc>
          <w:tcPr>
            <w:tcW w:w="389" w:type="pct"/>
            <w:noWrap/>
            <w:hideMark/>
          </w:tcPr>
          <w:p w14:paraId="4BAE8975" w14:textId="0E6C67C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01DC2972" w14:textId="64B4C4EB"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0,09</w:t>
            </w:r>
          </w:p>
        </w:tc>
        <w:tc>
          <w:tcPr>
            <w:tcW w:w="417" w:type="pct"/>
            <w:noWrap/>
            <w:hideMark/>
          </w:tcPr>
          <w:p w14:paraId="762EA904" w14:textId="5F74E8FA"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-11,28</w:t>
            </w:r>
          </w:p>
        </w:tc>
      </w:tr>
      <w:tr w:rsidR="001A74C9" w:rsidRPr="00EA12E7" w14:paraId="08EE5E8C" w14:textId="77777777" w:rsidTr="008678C6">
        <w:trPr>
          <w:trHeight w:val="300"/>
        </w:trPr>
        <w:tc>
          <w:tcPr>
            <w:tcW w:w="341" w:type="pct"/>
            <w:noWrap/>
            <w:hideMark/>
          </w:tcPr>
          <w:p w14:paraId="2CD440E6"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65CA8CE5" w14:textId="0DFB266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Alginvesteering tsentraalne liin + IT - ühekordsed kulud (CAPEX)</w:t>
            </w:r>
          </w:p>
        </w:tc>
        <w:tc>
          <w:tcPr>
            <w:tcW w:w="292" w:type="pct"/>
            <w:noWrap/>
            <w:hideMark/>
          </w:tcPr>
          <w:p w14:paraId="268C2920" w14:textId="02001349"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6A1274BC" w14:textId="4439117B"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61152E68" w14:textId="7B52C9CE"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-652 410</w:t>
            </w:r>
          </w:p>
        </w:tc>
        <w:tc>
          <w:tcPr>
            <w:tcW w:w="340" w:type="pct"/>
            <w:noWrap/>
            <w:hideMark/>
          </w:tcPr>
          <w:p w14:paraId="04A22B05" w14:textId="66A8438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5C590D1F" w14:textId="1D01069F"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-812 410</w:t>
            </w:r>
          </w:p>
        </w:tc>
        <w:tc>
          <w:tcPr>
            <w:tcW w:w="389" w:type="pct"/>
            <w:noWrap/>
            <w:hideMark/>
          </w:tcPr>
          <w:p w14:paraId="5F5941D7" w14:textId="66360498"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7E3FBE4D" w14:textId="631A9A61"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0,27</w:t>
            </w:r>
          </w:p>
        </w:tc>
        <w:tc>
          <w:tcPr>
            <w:tcW w:w="417" w:type="pct"/>
            <w:noWrap/>
            <w:hideMark/>
          </w:tcPr>
          <w:p w14:paraId="6E749112" w14:textId="2603889E"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-3,66</w:t>
            </w:r>
          </w:p>
        </w:tc>
      </w:tr>
      <w:tr w:rsidR="001A74C9" w:rsidRPr="00EA12E7" w14:paraId="290855FE" w14:textId="77777777" w:rsidTr="008678C6">
        <w:trPr>
          <w:trHeight w:val="300"/>
        </w:trPr>
        <w:tc>
          <w:tcPr>
            <w:tcW w:w="341" w:type="pct"/>
            <w:noWrap/>
            <w:hideMark/>
          </w:tcPr>
          <w:p w14:paraId="3BADCFD7"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160B40AD" w14:textId="45821C91"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jäätmed (korduskasutus)</w:t>
            </w:r>
          </w:p>
        </w:tc>
        <w:tc>
          <w:tcPr>
            <w:tcW w:w="292" w:type="pct"/>
            <w:noWrap/>
            <w:hideMark/>
          </w:tcPr>
          <w:p w14:paraId="48BCF0F5" w14:textId="1FCCAA7F"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1374C51E" w14:textId="150AC5E8"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01BAC8C6" w14:textId="7A59B342"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-731 145</w:t>
            </w:r>
          </w:p>
        </w:tc>
        <w:tc>
          <w:tcPr>
            <w:tcW w:w="340" w:type="pct"/>
            <w:noWrap/>
            <w:hideMark/>
          </w:tcPr>
          <w:p w14:paraId="75B5023C" w14:textId="2E38BC6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-732 410</w:t>
            </w:r>
          </w:p>
        </w:tc>
        <w:tc>
          <w:tcPr>
            <w:tcW w:w="341" w:type="pct"/>
            <w:noWrap/>
            <w:hideMark/>
          </w:tcPr>
          <w:p w14:paraId="3C239B61" w14:textId="01CDFC8A"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-733 674</w:t>
            </w:r>
          </w:p>
        </w:tc>
        <w:tc>
          <w:tcPr>
            <w:tcW w:w="389" w:type="pct"/>
            <w:noWrap/>
            <w:hideMark/>
          </w:tcPr>
          <w:p w14:paraId="3D0CB214" w14:textId="69AB4B4A"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2B187AF0" w14:textId="6409D5DC"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0,01</w:t>
            </w:r>
          </w:p>
        </w:tc>
        <w:tc>
          <w:tcPr>
            <w:tcW w:w="417" w:type="pct"/>
            <w:noWrap/>
            <w:hideMark/>
          </w:tcPr>
          <w:p w14:paraId="65312293" w14:textId="4C934B5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sz w:val="16"/>
                <w:szCs w:val="16"/>
              </w:rPr>
              <w:t>-115,84</w:t>
            </w:r>
          </w:p>
        </w:tc>
      </w:tr>
      <w:tr w:rsidR="001A74C9" w:rsidRPr="00EA12E7" w14:paraId="6C74C393" w14:textId="77777777" w:rsidTr="008678C6">
        <w:trPr>
          <w:trHeight w:val="300"/>
        </w:trPr>
        <w:tc>
          <w:tcPr>
            <w:tcW w:w="341" w:type="pct"/>
            <w:noWrap/>
            <w:hideMark/>
          </w:tcPr>
          <w:p w14:paraId="3FD7BD07" w14:textId="77777777" w:rsidR="001A74C9" w:rsidRPr="00EA12E7" w:rsidRDefault="001A74C9" w:rsidP="001A74C9">
            <w:pPr>
              <w:jc w:val="right"/>
              <w:rPr>
                <w:rFonts w:eastAsia="Times New Roman" w:cs="Times New Roman"/>
                <w:color w:val="000000"/>
                <w:kern w:val="0"/>
                <w:sz w:val="16"/>
                <w:szCs w:val="16"/>
                <w:lang w:eastAsia="et-EE"/>
                <w14:ligatures w14:val="none"/>
              </w:rPr>
            </w:pPr>
          </w:p>
        </w:tc>
        <w:tc>
          <w:tcPr>
            <w:tcW w:w="1994" w:type="pct"/>
            <w:noWrap/>
            <w:hideMark/>
          </w:tcPr>
          <w:p w14:paraId="527B8185" w14:textId="1C7A337A"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IV teenustasu (</w:t>
            </w:r>
            <w:proofErr w:type="spellStart"/>
            <w:r w:rsidRPr="00EA12E7">
              <w:rPr>
                <w:rFonts w:eastAsia="Times New Roman" w:cs="Times New Roman"/>
                <w:color w:val="000000"/>
                <w:kern w:val="0"/>
                <w:sz w:val="16"/>
                <w:szCs w:val="16"/>
                <w:lang w:eastAsia="et-EE"/>
                <w14:ligatures w14:val="none"/>
              </w:rPr>
              <w:t>eur</w:t>
            </w:r>
            <w:proofErr w:type="spellEnd"/>
            <w:r w:rsidRPr="00EA12E7">
              <w:rPr>
                <w:rFonts w:eastAsia="Times New Roman" w:cs="Times New Roman"/>
                <w:color w:val="000000"/>
                <w:kern w:val="0"/>
                <w:sz w:val="16"/>
                <w:szCs w:val="16"/>
                <w:lang w:eastAsia="et-EE"/>
                <w14:ligatures w14:val="none"/>
              </w:rPr>
              <w:t xml:space="preserve">/serveering * </w:t>
            </w:r>
            <w:proofErr w:type="spellStart"/>
            <w:r w:rsidRPr="00EA12E7">
              <w:rPr>
                <w:rFonts w:eastAsia="Times New Roman" w:cs="Times New Roman"/>
                <w:color w:val="000000"/>
                <w:kern w:val="0"/>
                <w:sz w:val="16"/>
                <w:szCs w:val="16"/>
                <w:lang w:eastAsia="et-EE"/>
                <w14:ligatures w14:val="none"/>
              </w:rPr>
              <w:t>Qy</w:t>
            </w:r>
            <w:proofErr w:type="spellEnd"/>
            <w:r w:rsidRPr="00EA12E7">
              <w:rPr>
                <w:rFonts w:eastAsia="Times New Roman" w:cs="Times New Roman"/>
                <w:color w:val="000000"/>
                <w:kern w:val="0"/>
                <w:sz w:val="16"/>
                <w:szCs w:val="16"/>
                <w:lang w:eastAsia="et-EE"/>
                <w14:ligatures w14:val="none"/>
              </w:rPr>
              <w:t>)</w:t>
            </w:r>
          </w:p>
        </w:tc>
        <w:tc>
          <w:tcPr>
            <w:tcW w:w="292" w:type="pct"/>
            <w:noWrap/>
            <w:hideMark/>
          </w:tcPr>
          <w:p w14:paraId="6724AC32" w14:textId="33F0881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04EEF50D" w14:textId="4EA22DBB"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5E3BA300" w14:textId="18C2520A"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-593776</w:t>
            </w:r>
          </w:p>
        </w:tc>
        <w:tc>
          <w:tcPr>
            <w:tcW w:w="340" w:type="pct"/>
            <w:noWrap/>
            <w:hideMark/>
          </w:tcPr>
          <w:p w14:paraId="30E92871" w14:textId="227A2F3B"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-950821</w:t>
            </w:r>
          </w:p>
        </w:tc>
        <w:tc>
          <w:tcPr>
            <w:tcW w:w="341" w:type="pct"/>
            <w:noWrap/>
            <w:hideMark/>
          </w:tcPr>
          <w:p w14:paraId="7BC15109" w14:textId="7E5FAB73"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-1307865</w:t>
            </w:r>
          </w:p>
        </w:tc>
        <w:tc>
          <w:tcPr>
            <w:tcW w:w="389" w:type="pct"/>
            <w:noWrap/>
            <w:hideMark/>
          </w:tcPr>
          <w:p w14:paraId="424ECC3E" w14:textId="5E7201C7"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63FE37AB" w14:textId="29C9231E"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2,07</w:t>
            </w:r>
          </w:p>
        </w:tc>
        <w:tc>
          <w:tcPr>
            <w:tcW w:w="417" w:type="pct"/>
            <w:noWrap/>
            <w:hideMark/>
          </w:tcPr>
          <w:p w14:paraId="2AAA9076" w14:textId="162C109D" w:rsidR="001A74C9" w:rsidRPr="00EA12E7" w:rsidRDefault="001A74C9" w:rsidP="001A74C9">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-0,48</w:t>
            </w:r>
          </w:p>
        </w:tc>
      </w:tr>
      <w:tr w:rsidR="007253A7" w:rsidRPr="00EA12E7" w14:paraId="0B768CE6" w14:textId="77777777" w:rsidTr="008678C6">
        <w:trPr>
          <w:trHeight w:val="300"/>
        </w:trPr>
        <w:tc>
          <w:tcPr>
            <w:tcW w:w="341" w:type="pct"/>
            <w:shd w:val="clear" w:color="auto" w:fill="DAE9F7" w:themeFill="text2" w:themeFillTint="1A"/>
            <w:noWrap/>
            <w:hideMark/>
          </w:tcPr>
          <w:p w14:paraId="567FCDE5" w14:textId="1D57766F" w:rsidR="007253A7" w:rsidRPr="00EA12E7" w:rsidRDefault="007253A7" w:rsidP="007253A7">
            <w:pPr>
              <w:jc w:val="righ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Teenus2</w:t>
            </w:r>
          </w:p>
        </w:tc>
        <w:tc>
          <w:tcPr>
            <w:tcW w:w="1994" w:type="pct"/>
            <w:shd w:val="clear" w:color="auto" w:fill="DAE9F7" w:themeFill="text2" w:themeFillTint="1A"/>
            <w:noWrap/>
            <w:hideMark/>
          </w:tcPr>
          <w:p w14:paraId="000AAED3" w14:textId="49BA33E4"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Alginvesteering nõud - ühekordsed kulud</w:t>
            </w:r>
          </w:p>
        </w:tc>
        <w:tc>
          <w:tcPr>
            <w:tcW w:w="292" w:type="pct"/>
            <w:shd w:val="clear" w:color="auto" w:fill="DAE9F7" w:themeFill="text2" w:themeFillTint="1A"/>
            <w:noWrap/>
            <w:hideMark/>
          </w:tcPr>
          <w:p w14:paraId="34E185F5" w14:textId="40BF59C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shd w:val="clear" w:color="auto" w:fill="DAE9F7" w:themeFill="text2" w:themeFillTint="1A"/>
            <w:noWrap/>
            <w:hideMark/>
          </w:tcPr>
          <w:p w14:paraId="4ADCCF69" w14:textId="4F37BC1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shd w:val="clear" w:color="auto" w:fill="DAE9F7" w:themeFill="text2" w:themeFillTint="1A"/>
            <w:noWrap/>
            <w:hideMark/>
          </w:tcPr>
          <w:p w14:paraId="140DDA98" w14:textId="7010947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287 018</w:t>
            </w:r>
          </w:p>
        </w:tc>
        <w:tc>
          <w:tcPr>
            <w:tcW w:w="340" w:type="pct"/>
            <w:shd w:val="clear" w:color="auto" w:fill="DAE9F7" w:themeFill="text2" w:themeFillTint="1A"/>
            <w:noWrap/>
            <w:hideMark/>
          </w:tcPr>
          <w:p w14:paraId="7287BED3" w14:textId="4801EB85"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shd w:val="clear" w:color="auto" w:fill="DAE9F7" w:themeFill="text2" w:themeFillTint="1A"/>
            <w:noWrap/>
            <w:hideMark/>
          </w:tcPr>
          <w:p w14:paraId="5CB09B0A" w14:textId="1C921C5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71 879</w:t>
            </w:r>
          </w:p>
        </w:tc>
        <w:tc>
          <w:tcPr>
            <w:tcW w:w="389" w:type="pct"/>
            <w:shd w:val="clear" w:color="auto" w:fill="DAE9F7" w:themeFill="text2" w:themeFillTint="1A"/>
            <w:noWrap/>
            <w:hideMark/>
          </w:tcPr>
          <w:p w14:paraId="7E38A82B" w14:textId="168CB093"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C</w:t>
            </w:r>
          </w:p>
        </w:tc>
        <w:tc>
          <w:tcPr>
            <w:tcW w:w="302" w:type="pct"/>
            <w:shd w:val="clear" w:color="auto" w:fill="DAE9F7" w:themeFill="text2" w:themeFillTint="1A"/>
            <w:noWrap/>
            <w:hideMark/>
          </w:tcPr>
          <w:p w14:paraId="5E987C25" w14:textId="09E8BF2E"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0,07</w:t>
            </w:r>
          </w:p>
        </w:tc>
        <w:tc>
          <w:tcPr>
            <w:tcW w:w="417" w:type="pct"/>
            <w:shd w:val="clear" w:color="auto" w:fill="DAE9F7" w:themeFill="text2" w:themeFillTint="1A"/>
            <w:noWrap/>
            <w:hideMark/>
          </w:tcPr>
          <w:p w14:paraId="1ADF8178" w14:textId="47125CD1"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16,10</w:t>
            </w:r>
          </w:p>
        </w:tc>
      </w:tr>
      <w:tr w:rsidR="007253A7" w:rsidRPr="00EA12E7" w14:paraId="6E475B02" w14:textId="77777777" w:rsidTr="008678C6">
        <w:trPr>
          <w:trHeight w:val="300"/>
        </w:trPr>
        <w:tc>
          <w:tcPr>
            <w:tcW w:w="341" w:type="pct"/>
            <w:noWrap/>
            <w:hideMark/>
          </w:tcPr>
          <w:p w14:paraId="5E07FEC9" w14:textId="0B664FDA"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73C65DCD" w14:textId="60217478"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Alginvesteering pesutehnika +  IT-komponendid - ühekordsed kulud</w:t>
            </w:r>
          </w:p>
        </w:tc>
        <w:tc>
          <w:tcPr>
            <w:tcW w:w="292" w:type="pct"/>
            <w:noWrap/>
            <w:hideMark/>
          </w:tcPr>
          <w:p w14:paraId="1C097A2F" w14:textId="75820EFB"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32A12887" w14:textId="363D515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6B9C9982" w14:textId="24976D8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184 202</w:t>
            </w:r>
          </w:p>
        </w:tc>
        <w:tc>
          <w:tcPr>
            <w:tcW w:w="340" w:type="pct"/>
            <w:noWrap/>
            <w:hideMark/>
          </w:tcPr>
          <w:p w14:paraId="71BA0197" w14:textId="636A3AE0"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07DBF751" w14:textId="2454A762"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174 695</w:t>
            </w:r>
          </w:p>
        </w:tc>
        <w:tc>
          <w:tcPr>
            <w:tcW w:w="389" w:type="pct"/>
            <w:noWrap/>
            <w:hideMark/>
          </w:tcPr>
          <w:p w14:paraId="1CABA2D6" w14:textId="01300704"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C</w:t>
            </w:r>
          </w:p>
        </w:tc>
        <w:tc>
          <w:tcPr>
            <w:tcW w:w="302" w:type="pct"/>
            <w:noWrap/>
            <w:hideMark/>
          </w:tcPr>
          <w:p w14:paraId="7F92BF5C" w14:textId="76BCDB08"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0,38</w:t>
            </w:r>
          </w:p>
        </w:tc>
        <w:tc>
          <w:tcPr>
            <w:tcW w:w="417" w:type="pct"/>
            <w:noWrap/>
            <w:hideMark/>
          </w:tcPr>
          <w:p w14:paraId="3BC42189" w14:textId="06F6D700"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3,64</w:t>
            </w:r>
          </w:p>
        </w:tc>
      </w:tr>
      <w:tr w:rsidR="007253A7" w:rsidRPr="00EA12E7" w14:paraId="0FA06DC7" w14:textId="77777777" w:rsidTr="008678C6">
        <w:trPr>
          <w:trHeight w:val="300"/>
        </w:trPr>
        <w:tc>
          <w:tcPr>
            <w:tcW w:w="341" w:type="pct"/>
            <w:noWrap/>
            <w:hideMark/>
          </w:tcPr>
          <w:p w14:paraId="427B5E8D" w14:textId="7AA45E2B" w:rsidR="007253A7" w:rsidRPr="00EA12E7" w:rsidRDefault="007253A7" w:rsidP="007253A7">
            <w:pPr>
              <w:jc w:val="left"/>
              <w:rPr>
                <w:rFonts w:eastAsia="Times New Roman" w:cs="Times New Roman"/>
                <w:color w:val="000000"/>
                <w:kern w:val="0"/>
                <w:sz w:val="16"/>
                <w:szCs w:val="16"/>
                <w:lang w:eastAsia="et-EE"/>
                <w14:ligatures w14:val="none"/>
              </w:rPr>
            </w:pPr>
          </w:p>
        </w:tc>
        <w:tc>
          <w:tcPr>
            <w:tcW w:w="1994" w:type="pct"/>
            <w:noWrap/>
            <w:hideMark/>
          </w:tcPr>
          <w:p w14:paraId="11E726C2" w14:textId="44802A5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Alginvesteering köögipinna ehitus/ümberehitus (kanalisatsioon)</w:t>
            </w:r>
          </w:p>
        </w:tc>
        <w:tc>
          <w:tcPr>
            <w:tcW w:w="292" w:type="pct"/>
            <w:noWrap/>
            <w:hideMark/>
          </w:tcPr>
          <w:p w14:paraId="6BC6AAA7" w14:textId="3BC70CC0"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3F8DC221" w14:textId="7A8E293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3C5D3066" w14:textId="23D2E2CD"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206 665</w:t>
            </w:r>
          </w:p>
        </w:tc>
        <w:tc>
          <w:tcPr>
            <w:tcW w:w="340" w:type="pct"/>
            <w:noWrap/>
            <w:hideMark/>
          </w:tcPr>
          <w:p w14:paraId="5E168CAC" w14:textId="5E71287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221F9799" w14:textId="21CE0A8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152 233</w:t>
            </w:r>
          </w:p>
        </w:tc>
        <w:tc>
          <w:tcPr>
            <w:tcW w:w="389" w:type="pct"/>
            <w:noWrap/>
            <w:hideMark/>
          </w:tcPr>
          <w:p w14:paraId="31079EC0" w14:textId="071C00E5"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C</w:t>
            </w:r>
          </w:p>
        </w:tc>
        <w:tc>
          <w:tcPr>
            <w:tcW w:w="302" w:type="pct"/>
            <w:noWrap/>
            <w:hideMark/>
          </w:tcPr>
          <w:p w14:paraId="0C62013F" w14:textId="1450058D"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0,75</w:t>
            </w:r>
          </w:p>
        </w:tc>
        <w:tc>
          <w:tcPr>
            <w:tcW w:w="417" w:type="pct"/>
            <w:noWrap/>
            <w:hideMark/>
          </w:tcPr>
          <w:p w14:paraId="26D68B08" w14:textId="702560FD"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2,33</w:t>
            </w:r>
          </w:p>
        </w:tc>
      </w:tr>
      <w:tr w:rsidR="007253A7" w:rsidRPr="00EA12E7" w14:paraId="4DED3420" w14:textId="77777777" w:rsidTr="008678C6">
        <w:trPr>
          <w:trHeight w:val="300"/>
        </w:trPr>
        <w:tc>
          <w:tcPr>
            <w:tcW w:w="341" w:type="pct"/>
            <w:noWrap/>
            <w:hideMark/>
          </w:tcPr>
          <w:p w14:paraId="18A023CB"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5289D493" w14:textId="11A7F2B3"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Alginvesteering lisaruumi sisustamine / riiulid / ventilatsioon</w:t>
            </w:r>
          </w:p>
        </w:tc>
        <w:tc>
          <w:tcPr>
            <w:tcW w:w="292" w:type="pct"/>
            <w:noWrap/>
            <w:hideMark/>
          </w:tcPr>
          <w:p w14:paraId="0CACDD3A" w14:textId="0A8378F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5EAFBB08" w14:textId="33E36FA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16A70E41" w14:textId="7BDD1E95"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233 449</w:t>
            </w:r>
          </w:p>
        </w:tc>
        <w:tc>
          <w:tcPr>
            <w:tcW w:w="340" w:type="pct"/>
            <w:noWrap/>
            <w:hideMark/>
          </w:tcPr>
          <w:p w14:paraId="21DAA01E" w14:textId="16E4A3BB"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5B3D63D5" w14:textId="6B888C2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125 449</w:t>
            </w:r>
          </w:p>
        </w:tc>
        <w:tc>
          <w:tcPr>
            <w:tcW w:w="389" w:type="pct"/>
            <w:noWrap/>
            <w:hideMark/>
          </w:tcPr>
          <w:p w14:paraId="5D2BC06A" w14:textId="35B98246"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C</w:t>
            </w:r>
          </w:p>
        </w:tc>
        <w:tc>
          <w:tcPr>
            <w:tcW w:w="302" w:type="pct"/>
            <w:noWrap/>
            <w:hideMark/>
          </w:tcPr>
          <w:p w14:paraId="72817AC5" w14:textId="3D3DB7E6"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0,30</w:t>
            </w:r>
          </w:p>
        </w:tc>
        <w:tc>
          <w:tcPr>
            <w:tcW w:w="417" w:type="pct"/>
            <w:noWrap/>
            <w:hideMark/>
          </w:tcPr>
          <w:p w14:paraId="6C4FD6B8" w14:textId="4DCCEB94"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4,32</w:t>
            </w:r>
          </w:p>
        </w:tc>
      </w:tr>
      <w:tr w:rsidR="007253A7" w:rsidRPr="00EA12E7" w14:paraId="517D3AD4" w14:textId="77777777" w:rsidTr="008678C6">
        <w:trPr>
          <w:trHeight w:val="300"/>
        </w:trPr>
        <w:tc>
          <w:tcPr>
            <w:tcW w:w="341" w:type="pct"/>
            <w:noWrap/>
            <w:hideMark/>
          </w:tcPr>
          <w:p w14:paraId="1FF57D07"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27CA415F" w14:textId="3D93A5C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pesu – vesi</w:t>
            </w:r>
          </w:p>
        </w:tc>
        <w:tc>
          <w:tcPr>
            <w:tcW w:w="292" w:type="pct"/>
            <w:noWrap/>
            <w:hideMark/>
          </w:tcPr>
          <w:p w14:paraId="153AAC76" w14:textId="72EF849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w:t>
            </w:r>
            <w:r w:rsidR="000A5B0C">
              <w:rPr>
                <w:rFonts w:eastAsia="Times New Roman" w:cs="Times New Roman"/>
                <w:color w:val="000000"/>
                <w:kern w:val="0"/>
                <w:sz w:val="16"/>
                <w:szCs w:val="16"/>
                <w:lang w:eastAsia="et-EE"/>
                <w14:ligatures w14:val="none"/>
              </w:rPr>
              <w:t>8</w:t>
            </w:r>
          </w:p>
        </w:tc>
        <w:tc>
          <w:tcPr>
            <w:tcW w:w="244" w:type="pct"/>
            <w:noWrap/>
            <w:hideMark/>
          </w:tcPr>
          <w:p w14:paraId="06F6E145" w14:textId="379EB09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482CC299" w14:textId="6D144396"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201 049</w:t>
            </w:r>
          </w:p>
        </w:tc>
        <w:tc>
          <w:tcPr>
            <w:tcW w:w="340" w:type="pct"/>
            <w:noWrap/>
            <w:hideMark/>
          </w:tcPr>
          <w:p w14:paraId="783239B3" w14:textId="5008481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39DC8B3A" w14:textId="350840F4"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157 849</w:t>
            </w:r>
          </w:p>
        </w:tc>
        <w:tc>
          <w:tcPr>
            <w:tcW w:w="389" w:type="pct"/>
            <w:noWrap/>
            <w:hideMark/>
          </w:tcPr>
          <w:p w14:paraId="5CD60C02" w14:textId="0A453F7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hideMark/>
          </w:tcPr>
          <w:p w14:paraId="1A977DB3" w14:textId="2ED0FCA7"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0,02</w:t>
            </w:r>
          </w:p>
        </w:tc>
        <w:tc>
          <w:tcPr>
            <w:tcW w:w="417" w:type="pct"/>
            <w:noWrap/>
            <w:hideMark/>
          </w:tcPr>
          <w:p w14:paraId="40BDEEC1" w14:textId="5F3F6EFC"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47,17</w:t>
            </w:r>
          </w:p>
        </w:tc>
      </w:tr>
      <w:tr w:rsidR="007253A7" w:rsidRPr="00EA12E7" w14:paraId="7D5B18C3" w14:textId="77777777" w:rsidTr="008678C6">
        <w:trPr>
          <w:trHeight w:val="300"/>
        </w:trPr>
        <w:tc>
          <w:tcPr>
            <w:tcW w:w="341" w:type="pct"/>
            <w:noWrap/>
            <w:hideMark/>
          </w:tcPr>
          <w:p w14:paraId="4C46B340"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4F578F17" w14:textId="5EA83E3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pesu – elekter/aur</w:t>
            </w:r>
          </w:p>
        </w:tc>
        <w:tc>
          <w:tcPr>
            <w:tcW w:w="292" w:type="pct"/>
            <w:noWrap/>
            <w:hideMark/>
          </w:tcPr>
          <w:p w14:paraId="6D195452" w14:textId="26DA20C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7FC4CE5D" w14:textId="44496F6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3C2DBA4D" w14:textId="4CA8A0E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180 226</w:t>
            </w:r>
          </w:p>
        </w:tc>
        <w:tc>
          <w:tcPr>
            <w:tcW w:w="340" w:type="pct"/>
            <w:noWrap/>
            <w:hideMark/>
          </w:tcPr>
          <w:p w14:paraId="4150E0D5" w14:textId="42791A3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56CE2272" w14:textId="2D1DDCB8"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178 671</w:t>
            </w:r>
          </w:p>
        </w:tc>
        <w:tc>
          <w:tcPr>
            <w:tcW w:w="389" w:type="pct"/>
            <w:noWrap/>
            <w:hideMark/>
          </w:tcPr>
          <w:p w14:paraId="3D0C4BCD" w14:textId="0C147ABE"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hideMark/>
          </w:tcPr>
          <w:p w14:paraId="1BC4CFE4" w14:textId="22A15E50"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0,04</w:t>
            </w:r>
          </w:p>
        </w:tc>
        <w:tc>
          <w:tcPr>
            <w:tcW w:w="417" w:type="pct"/>
            <w:noWrap/>
            <w:hideMark/>
          </w:tcPr>
          <w:p w14:paraId="68681E30" w14:textId="33BDF5DD"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25,24</w:t>
            </w:r>
          </w:p>
        </w:tc>
      </w:tr>
      <w:tr w:rsidR="007253A7" w:rsidRPr="00EA12E7" w14:paraId="0F3DF297" w14:textId="77777777" w:rsidTr="008678C6">
        <w:trPr>
          <w:trHeight w:val="300"/>
        </w:trPr>
        <w:tc>
          <w:tcPr>
            <w:tcW w:w="341" w:type="pct"/>
            <w:noWrap/>
            <w:hideMark/>
          </w:tcPr>
          <w:p w14:paraId="2AD1DE50"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504A6513" w14:textId="3D4C017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pesu – pesuvahend</w:t>
            </w:r>
          </w:p>
        </w:tc>
        <w:tc>
          <w:tcPr>
            <w:tcW w:w="292" w:type="pct"/>
            <w:noWrap/>
            <w:hideMark/>
          </w:tcPr>
          <w:p w14:paraId="511464B7" w14:textId="74E1C976"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1668A004" w14:textId="6CBBF7A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46CF83A2" w14:textId="1282DCDB"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180 929</w:t>
            </w:r>
          </w:p>
        </w:tc>
        <w:tc>
          <w:tcPr>
            <w:tcW w:w="340" w:type="pct"/>
            <w:noWrap/>
            <w:hideMark/>
          </w:tcPr>
          <w:p w14:paraId="21F9B0F3" w14:textId="06FBA6E0"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03061E9E" w14:textId="771DD38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177 968</w:t>
            </w:r>
          </w:p>
        </w:tc>
        <w:tc>
          <w:tcPr>
            <w:tcW w:w="389" w:type="pct"/>
            <w:noWrap/>
            <w:hideMark/>
          </w:tcPr>
          <w:p w14:paraId="1CD139B0" w14:textId="38BC83E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hideMark/>
          </w:tcPr>
          <w:p w14:paraId="219EE7D0" w14:textId="145A8666"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1,04</w:t>
            </w:r>
          </w:p>
        </w:tc>
        <w:tc>
          <w:tcPr>
            <w:tcW w:w="417" w:type="pct"/>
            <w:noWrap/>
            <w:hideMark/>
          </w:tcPr>
          <w:p w14:paraId="682FDCFE" w14:textId="75A0FD8C"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1,96</w:t>
            </w:r>
          </w:p>
        </w:tc>
      </w:tr>
      <w:tr w:rsidR="007253A7" w:rsidRPr="00EA12E7" w14:paraId="33FAD11B" w14:textId="77777777" w:rsidTr="008678C6">
        <w:trPr>
          <w:trHeight w:val="300"/>
        </w:trPr>
        <w:tc>
          <w:tcPr>
            <w:tcW w:w="341" w:type="pct"/>
            <w:noWrap/>
            <w:hideMark/>
          </w:tcPr>
          <w:p w14:paraId="56903710"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759D4118" w14:textId="07C5821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tööjõud &amp; hooldus</w:t>
            </w:r>
          </w:p>
        </w:tc>
        <w:tc>
          <w:tcPr>
            <w:tcW w:w="292" w:type="pct"/>
            <w:noWrap/>
            <w:hideMark/>
          </w:tcPr>
          <w:p w14:paraId="2CD71F38" w14:textId="38F6877D"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53D57797" w14:textId="17CC213D"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3F59CA4D" w14:textId="6B92B60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216 712</w:t>
            </w:r>
          </w:p>
        </w:tc>
        <w:tc>
          <w:tcPr>
            <w:tcW w:w="340" w:type="pct"/>
            <w:noWrap/>
            <w:hideMark/>
          </w:tcPr>
          <w:p w14:paraId="72B2BBC5" w14:textId="4281CE0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4DDA5F90" w14:textId="487ED7D8"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142 185</w:t>
            </w:r>
          </w:p>
        </w:tc>
        <w:tc>
          <w:tcPr>
            <w:tcW w:w="389" w:type="pct"/>
            <w:noWrap/>
            <w:hideMark/>
          </w:tcPr>
          <w:p w14:paraId="4D90FFD6" w14:textId="7A0BB9D4"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hideMark/>
          </w:tcPr>
          <w:p w14:paraId="4EB39D7E" w14:textId="68D6F0FE"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0,33</w:t>
            </w:r>
          </w:p>
        </w:tc>
        <w:tc>
          <w:tcPr>
            <w:tcW w:w="417" w:type="pct"/>
            <w:noWrap/>
            <w:hideMark/>
          </w:tcPr>
          <w:p w14:paraId="5BADC210" w14:textId="7704D7BB"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4,02</w:t>
            </w:r>
          </w:p>
        </w:tc>
      </w:tr>
      <w:tr w:rsidR="007253A7" w:rsidRPr="00EA12E7" w14:paraId="213599FF" w14:textId="77777777" w:rsidTr="008678C6">
        <w:trPr>
          <w:trHeight w:val="300"/>
        </w:trPr>
        <w:tc>
          <w:tcPr>
            <w:tcW w:w="341" w:type="pct"/>
            <w:noWrap/>
            <w:hideMark/>
          </w:tcPr>
          <w:p w14:paraId="3834C4DD"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5B7113C5" w14:textId="1ADA9B9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kogumine &amp; sorteerimine</w:t>
            </w:r>
          </w:p>
        </w:tc>
        <w:tc>
          <w:tcPr>
            <w:tcW w:w="292" w:type="pct"/>
            <w:noWrap/>
            <w:hideMark/>
          </w:tcPr>
          <w:p w14:paraId="1C106355" w14:textId="1F50CA70"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0,8</w:t>
            </w:r>
          </w:p>
        </w:tc>
        <w:tc>
          <w:tcPr>
            <w:tcW w:w="244" w:type="pct"/>
            <w:noWrap/>
            <w:hideMark/>
          </w:tcPr>
          <w:p w14:paraId="3BBF6389" w14:textId="4ABE3505"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1,2</w:t>
            </w:r>
          </w:p>
        </w:tc>
        <w:tc>
          <w:tcPr>
            <w:tcW w:w="340" w:type="pct"/>
            <w:noWrap/>
            <w:hideMark/>
          </w:tcPr>
          <w:p w14:paraId="385A4654" w14:textId="2CBCF1A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191 331</w:t>
            </w:r>
          </w:p>
        </w:tc>
        <w:tc>
          <w:tcPr>
            <w:tcW w:w="340" w:type="pct"/>
            <w:noWrap/>
            <w:hideMark/>
          </w:tcPr>
          <w:p w14:paraId="7A48C9E5" w14:textId="5DC8A2C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55765E09" w14:textId="7238359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167 567</w:t>
            </w:r>
          </w:p>
        </w:tc>
        <w:tc>
          <w:tcPr>
            <w:tcW w:w="389" w:type="pct"/>
            <w:noWrap/>
            <w:hideMark/>
          </w:tcPr>
          <w:p w14:paraId="3902653F" w14:textId="232353B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hideMark/>
          </w:tcPr>
          <w:p w14:paraId="2BF303E5" w14:textId="211B18B3"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0,39</w:t>
            </w:r>
          </w:p>
        </w:tc>
        <w:tc>
          <w:tcPr>
            <w:tcW w:w="417" w:type="pct"/>
            <w:noWrap/>
            <w:hideMark/>
          </w:tcPr>
          <w:p w14:paraId="24E93226" w14:textId="7E4B2EB2"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3,56</w:t>
            </w:r>
          </w:p>
        </w:tc>
      </w:tr>
      <w:tr w:rsidR="007253A7" w:rsidRPr="00EA12E7" w14:paraId="2006DD55" w14:textId="77777777" w:rsidTr="008678C6">
        <w:trPr>
          <w:trHeight w:val="300"/>
        </w:trPr>
        <w:tc>
          <w:tcPr>
            <w:tcW w:w="341" w:type="pct"/>
            <w:noWrap/>
            <w:hideMark/>
          </w:tcPr>
          <w:p w14:paraId="20619C56"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5BB75AC5" w14:textId="369B9D8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kadu/purunemine asendus</w:t>
            </w:r>
          </w:p>
        </w:tc>
        <w:tc>
          <w:tcPr>
            <w:tcW w:w="292" w:type="pct"/>
            <w:noWrap/>
            <w:hideMark/>
          </w:tcPr>
          <w:p w14:paraId="24221501" w14:textId="1A707A4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0,7</w:t>
            </w:r>
          </w:p>
        </w:tc>
        <w:tc>
          <w:tcPr>
            <w:tcW w:w="244" w:type="pct"/>
            <w:noWrap/>
            <w:hideMark/>
          </w:tcPr>
          <w:p w14:paraId="4A8C8E3F" w14:textId="7446276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2,0</w:t>
            </w:r>
          </w:p>
        </w:tc>
        <w:tc>
          <w:tcPr>
            <w:tcW w:w="340" w:type="pct"/>
            <w:noWrap/>
            <w:hideMark/>
          </w:tcPr>
          <w:p w14:paraId="0D39DA49" w14:textId="23C8C04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193 484</w:t>
            </w:r>
          </w:p>
        </w:tc>
        <w:tc>
          <w:tcPr>
            <w:tcW w:w="340" w:type="pct"/>
            <w:noWrap/>
            <w:hideMark/>
          </w:tcPr>
          <w:p w14:paraId="7F77DC5C" w14:textId="7A24E95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344DBE51" w14:textId="60A38163"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165 413</w:t>
            </w:r>
          </w:p>
        </w:tc>
        <w:tc>
          <w:tcPr>
            <w:tcW w:w="389" w:type="pct"/>
            <w:noWrap/>
            <w:hideMark/>
          </w:tcPr>
          <w:p w14:paraId="258AFDDF" w14:textId="06170E88"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D</w:t>
            </w:r>
          </w:p>
        </w:tc>
        <w:tc>
          <w:tcPr>
            <w:tcW w:w="302" w:type="pct"/>
            <w:noWrap/>
            <w:hideMark/>
          </w:tcPr>
          <w:p w14:paraId="603A22AF" w14:textId="429EF003"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0,34</w:t>
            </w:r>
          </w:p>
        </w:tc>
        <w:tc>
          <w:tcPr>
            <w:tcW w:w="417" w:type="pct"/>
            <w:noWrap/>
            <w:hideMark/>
          </w:tcPr>
          <w:p w14:paraId="31518923" w14:textId="59F13B64"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3,95</w:t>
            </w:r>
          </w:p>
        </w:tc>
      </w:tr>
      <w:tr w:rsidR="007253A7" w:rsidRPr="00EA12E7" w14:paraId="3F34CEEC" w14:textId="77777777" w:rsidTr="008678C6">
        <w:trPr>
          <w:trHeight w:val="300"/>
        </w:trPr>
        <w:tc>
          <w:tcPr>
            <w:tcW w:w="341" w:type="pct"/>
            <w:noWrap/>
            <w:hideMark/>
          </w:tcPr>
          <w:p w14:paraId="4265C2A5"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hideMark/>
          </w:tcPr>
          <w:p w14:paraId="54E919B1" w14:textId="71B378E6"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II pakendite asenduskulu eluea lõpus</w:t>
            </w:r>
          </w:p>
        </w:tc>
        <w:tc>
          <w:tcPr>
            <w:tcW w:w="292" w:type="pct"/>
            <w:noWrap/>
            <w:hideMark/>
          </w:tcPr>
          <w:p w14:paraId="0D8B8EC5" w14:textId="6C233B85"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3DF0CB85" w14:textId="4816AF7A"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59BC90BF" w14:textId="6655C68F"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197 716</w:t>
            </w:r>
          </w:p>
        </w:tc>
        <w:tc>
          <w:tcPr>
            <w:tcW w:w="340" w:type="pct"/>
            <w:noWrap/>
            <w:hideMark/>
          </w:tcPr>
          <w:p w14:paraId="3209CAA7" w14:textId="73F454F3"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hideMark/>
          </w:tcPr>
          <w:p w14:paraId="3CB02549" w14:textId="67449D7C"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118 556</w:t>
            </w:r>
          </w:p>
        </w:tc>
        <w:tc>
          <w:tcPr>
            <w:tcW w:w="389" w:type="pct"/>
            <w:noWrap/>
            <w:hideMark/>
          </w:tcPr>
          <w:p w14:paraId="4C933956" w14:textId="1FDFC32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C</w:t>
            </w:r>
          </w:p>
        </w:tc>
        <w:tc>
          <w:tcPr>
            <w:tcW w:w="302" w:type="pct"/>
            <w:noWrap/>
            <w:hideMark/>
          </w:tcPr>
          <w:p w14:paraId="470B6D96" w14:textId="1CA3DB04"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1,37</w:t>
            </w:r>
          </w:p>
        </w:tc>
        <w:tc>
          <w:tcPr>
            <w:tcW w:w="417" w:type="pct"/>
            <w:noWrap/>
            <w:hideMark/>
          </w:tcPr>
          <w:p w14:paraId="1C77E910" w14:textId="16803F1A"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1,73</w:t>
            </w:r>
          </w:p>
        </w:tc>
      </w:tr>
      <w:tr w:rsidR="007253A7" w:rsidRPr="00EA12E7" w14:paraId="55F797AE" w14:textId="77777777" w:rsidTr="008678C6">
        <w:trPr>
          <w:trHeight w:val="300"/>
        </w:trPr>
        <w:tc>
          <w:tcPr>
            <w:tcW w:w="341" w:type="pct"/>
            <w:noWrap/>
          </w:tcPr>
          <w:p w14:paraId="53FE0571" w14:textId="77777777" w:rsidR="007253A7" w:rsidRPr="00EA12E7" w:rsidRDefault="007253A7" w:rsidP="007253A7">
            <w:pPr>
              <w:jc w:val="right"/>
              <w:rPr>
                <w:rFonts w:eastAsia="Times New Roman" w:cs="Times New Roman"/>
                <w:color w:val="000000"/>
                <w:kern w:val="0"/>
                <w:sz w:val="16"/>
                <w:szCs w:val="16"/>
                <w:lang w:eastAsia="et-EE"/>
                <w14:ligatures w14:val="none"/>
              </w:rPr>
            </w:pPr>
          </w:p>
        </w:tc>
        <w:tc>
          <w:tcPr>
            <w:tcW w:w="1994" w:type="pct"/>
            <w:noWrap/>
          </w:tcPr>
          <w:p w14:paraId="5323A9C6" w14:textId="1F084A81"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 jäätmed (korduskasutus)</w:t>
            </w:r>
          </w:p>
        </w:tc>
        <w:tc>
          <w:tcPr>
            <w:tcW w:w="292" w:type="pct"/>
            <w:noWrap/>
          </w:tcPr>
          <w:p w14:paraId="1A34F616" w14:textId="68F9465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tcPr>
          <w:p w14:paraId="7CD165B5" w14:textId="1D404E8D" w:rsidR="007253A7" w:rsidRPr="00EA12E7" w:rsidRDefault="007253A7" w:rsidP="007253A7">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tcPr>
          <w:p w14:paraId="0837C80B" w14:textId="36E4DA59"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0" w:type="pct"/>
            <w:noWrap/>
          </w:tcPr>
          <w:p w14:paraId="5F020810" w14:textId="04995822"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41" w:type="pct"/>
            <w:noWrap/>
          </w:tcPr>
          <w:p w14:paraId="6BFC453F" w14:textId="09D6D4FD"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179 449</w:t>
            </w:r>
          </w:p>
        </w:tc>
        <w:tc>
          <w:tcPr>
            <w:tcW w:w="389" w:type="pct"/>
            <w:noWrap/>
          </w:tcPr>
          <w:p w14:paraId="47F97042" w14:textId="559C4FE7" w:rsidR="007253A7" w:rsidRPr="00EA12E7" w:rsidRDefault="007253A7" w:rsidP="007253A7">
            <w:pPr>
              <w:jc w:val="left"/>
              <w:rPr>
                <w:rFonts w:eastAsia="Times New Roman" w:cs="Times New Roman"/>
                <w:color w:val="000000"/>
                <w:kern w:val="0"/>
                <w:sz w:val="16"/>
                <w:szCs w:val="16"/>
                <w:lang w:eastAsia="et-EE"/>
                <w14:ligatures w14:val="none"/>
              </w:rPr>
            </w:pPr>
            <w:r w:rsidRPr="00EA12E7">
              <w:rPr>
                <w:sz w:val="16"/>
                <w:szCs w:val="16"/>
              </w:rPr>
              <w:t>B</w:t>
            </w:r>
          </w:p>
        </w:tc>
        <w:tc>
          <w:tcPr>
            <w:tcW w:w="302" w:type="pct"/>
            <w:noWrap/>
          </w:tcPr>
          <w:p w14:paraId="47545CE2" w14:textId="328D3B21"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0,05</w:t>
            </w:r>
          </w:p>
        </w:tc>
        <w:tc>
          <w:tcPr>
            <w:tcW w:w="417" w:type="pct"/>
            <w:noWrap/>
          </w:tcPr>
          <w:p w14:paraId="0A7C19D4" w14:textId="4169197E" w:rsidR="007253A7" w:rsidRPr="007253A7" w:rsidRDefault="007253A7" w:rsidP="007253A7">
            <w:pPr>
              <w:jc w:val="left"/>
              <w:rPr>
                <w:rFonts w:eastAsia="Times New Roman" w:cs="Times New Roman"/>
                <w:color w:val="000000"/>
                <w:kern w:val="0"/>
                <w:sz w:val="16"/>
                <w:szCs w:val="16"/>
                <w:lang w:eastAsia="et-EE"/>
                <w14:ligatures w14:val="none"/>
              </w:rPr>
            </w:pPr>
            <w:r w:rsidRPr="007253A7">
              <w:rPr>
                <w:sz w:val="16"/>
                <w:szCs w:val="16"/>
              </w:rPr>
              <w:t>21,24</w:t>
            </w:r>
          </w:p>
        </w:tc>
      </w:tr>
      <w:tr w:rsidR="000D4BA4" w:rsidRPr="00EA12E7" w14:paraId="11FE9E04" w14:textId="77777777" w:rsidTr="008678C6">
        <w:trPr>
          <w:trHeight w:val="300"/>
        </w:trPr>
        <w:tc>
          <w:tcPr>
            <w:tcW w:w="341" w:type="pct"/>
            <w:noWrap/>
            <w:hideMark/>
          </w:tcPr>
          <w:p w14:paraId="785FC03D" w14:textId="77777777" w:rsidR="000D4BA4" w:rsidRPr="00EA12E7" w:rsidRDefault="000D4BA4" w:rsidP="000D4BA4">
            <w:pPr>
              <w:jc w:val="right"/>
              <w:rPr>
                <w:rFonts w:eastAsia="Times New Roman" w:cs="Times New Roman"/>
                <w:color w:val="000000"/>
                <w:kern w:val="0"/>
                <w:sz w:val="16"/>
                <w:szCs w:val="16"/>
                <w:lang w:eastAsia="et-EE"/>
                <w14:ligatures w14:val="none"/>
              </w:rPr>
            </w:pPr>
          </w:p>
        </w:tc>
        <w:tc>
          <w:tcPr>
            <w:tcW w:w="1994" w:type="pct"/>
            <w:noWrap/>
            <w:hideMark/>
          </w:tcPr>
          <w:p w14:paraId="0C5ED24F" w14:textId="0E952375"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logistika (kogumine/vedu)</w:t>
            </w:r>
          </w:p>
        </w:tc>
        <w:tc>
          <w:tcPr>
            <w:tcW w:w="292" w:type="pct"/>
            <w:noWrap/>
            <w:hideMark/>
          </w:tcPr>
          <w:p w14:paraId="2CB6D4C7" w14:textId="1BF3A376"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7D0D92FB" w14:textId="6AE661E0"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0CCCAC56" w14:textId="3B6E7FA4"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-1 619 644</w:t>
            </w:r>
          </w:p>
        </w:tc>
        <w:tc>
          <w:tcPr>
            <w:tcW w:w="340" w:type="pct"/>
            <w:noWrap/>
            <w:hideMark/>
          </w:tcPr>
          <w:p w14:paraId="22FC0A2E" w14:textId="05D53A1F"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3A1F3D42" w14:textId="4BBF6F71"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-1 930 583</w:t>
            </w:r>
          </w:p>
        </w:tc>
        <w:tc>
          <w:tcPr>
            <w:tcW w:w="389" w:type="pct"/>
            <w:noWrap/>
            <w:hideMark/>
          </w:tcPr>
          <w:p w14:paraId="5B7DEFCE" w14:textId="444C507C"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0965A215" w14:textId="0FC9F2A5"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0,44</w:t>
            </w:r>
          </w:p>
        </w:tc>
        <w:tc>
          <w:tcPr>
            <w:tcW w:w="417" w:type="pct"/>
            <w:noWrap/>
            <w:hideMark/>
          </w:tcPr>
          <w:p w14:paraId="1B07B6DB" w14:textId="5BFD877E"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-1,28</w:t>
            </w:r>
          </w:p>
        </w:tc>
      </w:tr>
      <w:tr w:rsidR="000D4BA4" w:rsidRPr="00EA12E7" w14:paraId="28A13E6D" w14:textId="77777777" w:rsidTr="008678C6">
        <w:trPr>
          <w:trHeight w:val="300"/>
        </w:trPr>
        <w:tc>
          <w:tcPr>
            <w:tcW w:w="341" w:type="pct"/>
            <w:noWrap/>
            <w:hideMark/>
          </w:tcPr>
          <w:p w14:paraId="7000CA9B" w14:textId="77777777" w:rsidR="000D4BA4" w:rsidRPr="00EA12E7" w:rsidRDefault="000D4BA4" w:rsidP="000D4BA4">
            <w:pPr>
              <w:jc w:val="right"/>
              <w:rPr>
                <w:rFonts w:eastAsia="Times New Roman" w:cs="Times New Roman"/>
                <w:color w:val="000000"/>
                <w:kern w:val="0"/>
                <w:sz w:val="16"/>
                <w:szCs w:val="16"/>
                <w:lang w:eastAsia="et-EE"/>
                <w14:ligatures w14:val="none"/>
              </w:rPr>
            </w:pPr>
          </w:p>
        </w:tc>
        <w:tc>
          <w:tcPr>
            <w:tcW w:w="1994" w:type="pct"/>
            <w:noWrap/>
            <w:hideMark/>
          </w:tcPr>
          <w:p w14:paraId="69697D43" w14:textId="671B1BB1"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pesu (vesi; elekter/aur; pesuvahend; tööjõud; hooldus)</w:t>
            </w:r>
          </w:p>
        </w:tc>
        <w:tc>
          <w:tcPr>
            <w:tcW w:w="292" w:type="pct"/>
            <w:noWrap/>
            <w:hideMark/>
          </w:tcPr>
          <w:p w14:paraId="0EF77558" w14:textId="70861F54"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465D6A10" w14:textId="3D7F09E3"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08BAD164" w14:textId="7FCC6D2D"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-1 503 042</w:t>
            </w:r>
          </w:p>
        </w:tc>
        <w:tc>
          <w:tcPr>
            <w:tcW w:w="340" w:type="pct"/>
            <w:noWrap/>
            <w:hideMark/>
          </w:tcPr>
          <w:p w14:paraId="01FF9A2F" w14:textId="78B2D46A"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45CAC109" w14:textId="341ED173"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-2 047 185</w:t>
            </w:r>
          </w:p>
        </w:tc>
        <w:tc>
          <w:tcPr>
            <w:tcW w:w="389" w:type="pct"/>
            <w:noWrap/>
            <w:hideMark/>
          </w:tcPr>
          <w:p w14:paraId="0E5C4673" w14:textId="6AEC759E"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05075B89" w14:textId="134A1C75"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0,77</w:t>
            </w:r>
          </w:p>
        </w:tc>
        <w:tc>
          <w:tcPr>
            <w:tcW w:w="417" w:type="pct"/>
            <w:noWrap/>
            <w:hideMark/>
          </w:tcPr>
          <w:p w14:paraId="064F3B43" w14:textId="4DED46C3"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-0,30</w:t>
            </w:r>
          </w:p>
        </w:tc>
      </w:tr>
      <w:tr w:rsidR="000D4BA4" w:rsidRPr="00EA12E7" w14:paraId="3C12D31D" w14:textId="77777777" w:rsidTr="008678C6">
        <w:trPr>
          <w:trHeight w:val="300"/>
        </w:trPr>
        <w:tc>
          <w:tcPr>
            <w:tcW w:w="341" w:type="pct"/>
            <w:noWrap/>
            <w:hideMark/>
          </w:tcPr>
          <w:p w14:paraId="4CE4A135" w14:textId="77777777" w:rsidR="000D4BA4" w:rsidRPr="00EA12E7" w:rsidRDefault="000D4BA4" w:rsidP="000D4BA4">
            <w:pPr>
              <w:jc w:val="left"/>
              <w:rPr>
                <w:rFonts w:eastAsia="Times New Roman" w:cs="Times New Roman"/>
                <w:kern w:val="0"/>
                <w:sz w:val="16"/>
                <w:szCs w:val="16"/>
                <w:lang w:eastAsia="et-EE"/>
                <w14:ligatures w14:val="none"/>
              </w:rPr>
            </w:pPr>
          </w:p>
        </w:tc>
        <w:tc>
          <w:tcPr>
            <w:tcW w:w="1994" w:type="pct"/>
            <w:noWrap/>
            <w:hideMark/>
          </w:tcPr>
          <w:p w14:paraId="7A093E46" w14:textId="6A728FB0"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pakendite asenduskulu eluea lõpus</w:t>
            </w:r>
          </w:p>
        </w:tc>
        <w:tc>
          <w:tcPr>
            <w:tcW w:w="292" w:type="pct"/>
            <w:noWrap/>
            <w:hideMark/>
          </w:tcPr>
          <w:p w14:paraId="4FA70355" w14:textId="2698DB1C"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5537B01D" w14:textId="011EDD48"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546C3960" w14:textId="0730BEC4"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-1 676 816</w:t>
            </w:r>
          </w:p>
        </w:tc>
        <w:tc>
          <w:tcPr>
            <w:tcW w:w="340" w:type="pct"/>
            <w:noWrap/>
            <w:hideMark/>
          </w:tcPr>
          <w:p w14:paraId="56E206D8" w14:textId="1A02EFC4"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382D66AF" w14:textId="23B8E966"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-1 873 411</w:t>
            </w:r>
          </w:p>
        </w:tc>
        <w:tc>
          <w:tcPr>
            <w:tcW w:w="389" w:type="pct"/>
            <w:noWrap/>
            <w:hideMark/>
          </w:tcPr>
          <w:p w14:paraId="40C915BA" w14:textId="208FD23B"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7D53455A" w14:textId="32A65007"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0,14</w:t>
            </w:r>
          </w:p>
        </w:tc>
        <w:tc>
          <w:tcPr>
            <w:tcW w:w="417" w:type="pct"/>
            <w:noWrap/>
            <w:hideMark/>
          </w:tcPr>
          <w:p w14:paraId="7E988427" w14:textId="50B326C0"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-6,22</w:t>
            </w:r>
          </w:p>
        </w:tc>
      </w:tr>
      <w:tr w:rsidR="000D4BA4" w:rsidRPr="00EA12E7" w14:paraId="72CDAD91" w14:textId="77777777" w:rsidTr="008678C6">
        <w:trPr>
          <w:trHeight w:val="300"/>
        </w:trPr>
        <w:tc>
          <w:tcPr>
            <w:tcW w:w="341" w:type="pct"/>
            <w:noWrap/>
            <w:hideMark/>
          </w:tcPr>
          <w:p w14:paraId="3939DE9F" w14:textId="77777777" w:rsidR="000D4BA4" w:rsidRPr="00EA12E7" w:rsidRDefault="000D4BA4" w:rsidP="000D4BA4">
            <w:pPr>
              <w:jc w:val="right"/>
              <w:rPr>
                <w:rFonts w:eastAsia="Times New Roman" w:cs="Times New Roman"/>
                <w:color w:val="000000"/>
                <w:kern w:val="0"/>
                <w:sz w:val="16"/>
                <w:szCs w:val="16"/>
                <w:lang w:eastAsia="et-EE"/>
                <w14:ligatures w14:val="none"/>
              </w:rPr>
            </w:pPr>
          </w:p>
        </w:tc>
        <w:tc>
          <w:tcPr>
            <w:tcW w:w="1994" w:type="pct"/>
            <w:noWrap/>
            <w:hideMark/>
          </w:tcPr>
          <w:p w14:paraId="7C1E407E" w14:textId="4F0071B0"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kadu/purunemine asendus</w:t>
            </w:r>
          </w:p>
        </w:tc>
        <w:tc>
          <w:tcPr>
            <w:tcW w:w="292" w:type="pct"/>
            <w:noWrap/>
            <w:hideMark/>
          </w:tcPr>
          <w:p w14:paraId="2F9D0D99" w14:textId="77CAEDC0"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0,7</w:t>
            </w:r>
          </w:p>
        </w:tc>
        <w:tc>
          <w:tcPr>
            <w:tcW w:w="244" w:type="pct"/>
            <w:noWrap/>
            <w:hideMark/>
          </w:tcPr>
          <w:p w14:paraId="371F68BF" w14:textId="461C876C"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2</w:t>
            </w:r>
            <w:r>
              <w:rPr>
                <w:rFonts w:eastAsia="Times New Roman" w:cs="Times New Roman"/>
                <w:color w:val="000000"/>
                <w:kern w:val="0"/>
                <w:sz w:val="16"/>
                <w:szCs w:val="16"/>
                <w:lang w:eastAsia="et-EE"/>
                <w14:ligatures w14:val="none"/>
              </w:rPr>
              <w:t>,0</w:t>
            </w:r>
          </w:p>
        </w:tc>
        <w:tc>
          <w:tcPr>
            <w:tcW w:w="340" w:type="pct"/>
            <w:noWrap/>
            <w:hideMark/>
          </w:tcPr>
          <w:p w14:paraId="4B0229C6" w14:textId="03212D7F"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0" w:type="pct"/>
            <w:noWrap/>
            <w:hideMark/>
          </w:tcPr>
          <w:p w14:paraId="2D096839" w14:textId="30C6E751"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5CF01DA2" w14:textId="22F71257"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89" w:type="pct"/>
            <w:noWrap/>
            <w:hideMark/>
          </w:tcPr>
          <w:p w14:paraId="02ADC245" w14:textId="2EB81C00"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D</w:t>
            </w:r>
          </w:p>
        </w:tc>
        <w:tc>
          <w:tcPr>
            <w:tcW w:w="302" w:type="pct"/>
            <w:noWrap/>
            <w:hideMark/>
          </w:tcPr>
          <w:p w14:paraId="5F02928D" w14:textId="55B5415F"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0,03</w:t>
            </w:r>
          </w:p>
        </w:tc>
        <w:tc>
          <w:tcPr>
            <w:tcW w:w="417" w:type="pct"/>
            <w:noWrap/>
            <w:hideMark/>
          </w:tcPr>
          <w:p w14:paraId="00BD21FE" w14:textId="2599C543"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-28,15</w:t>
            </w:r>
          </w:p>
        </w:tc>
      </w:tr>
      <w:tr w:rsidR="000D4BA4" w:rsidRPr="00EA12E7" w14:paraId="3AA19F18" w14:textId="77777777" w:rsidTr="008678C6">
        <w:trPr>
          <w:trHeight w:val="300"/>
        </w:trPr>
        <w:tc>
          <w:tcPr>
            <w:tcW w:w="341" w:type="pct"/>
            <w:noWrap/>
            <w:hideMark/>
          </w:tcPr>
          <w:p w14:paraId="57887888" w14:textId="77777777" w:rsidR="000D4BA4" w:rsidRPr="00EA12E7" w:rsidRDefault="000D4BA4" w:rsidP="000D4BA4">
            <w:pPr>
              <w:jc w:val="right"/>
              <w:rPr>
                <w:rFonts w:eastAsia="Times New Roman" w:cs="Times New Roman"/>
                <w:color w:val="000000"/>
                <w:kern w:val="0"/>
                <w:sz w:val="16"/>
                <w:szCs w:val="16"/>
                <w:lang w:eastAsia="et-EE"/>
                <w14:ligatures w14:val="none"/>
              </w:rPr>
            </w:pPr>
          </w:p>
        </w:tc>
        <w:tc>
          <w:tcPr>
            <w:tcW w:w="1994" w:type="pct"/>
            <w:noWrap/>
            <w:hideMark/>
          </w:tcPr>
          <w:p w14:paraId="2984CB28" w14:textId="052A345A"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muud kulud (turundus, koolitus,</w:t>
            </w:r>
            <w:r w:rsidR="00934F0F">
              <w:rPr>
                <w:rFonts w:eastAsia="Times New Roman" w:cs="Times New Roman"/>
                <w:color w:val="000000"/>
                <w:kern w:val="0"/>
                <w:sz w:val="16"/>
                <w:szCs w:val="16"/>
                <w:lang w:eastAsia="et-EE"/>
                <w14:ligatures w14:val="none"/>
              </w:rPr>
              <w:t xml:space="preserve"> </w:t>
            </w:r>
            <w:r w:rsidRPr="00EA12E7">
              <w:rPr>
                <w:rFonts w:eastAsia="Times New Roman" w:cs="Times New Roman"/>
                <w:color w:val="000000"/>
                <w:kern w:val="0"/>
                <w:sz w:val="16"/>
                <w:szCs w:val="16"/>
                <w:lang w:eastAsia="et-EE"/>
                <w14:ligatures w14:val="none"/>
              </w:rPr>
              <w:t>varude haldus)</w:t>
            </w:r>
          </w:p>
        </w:tc>
        <w:tc>
          <w:tcPr>
            <w:tcW w:w="292" w:type="pct"/>
            <w:noWrap/>
            <w:hideMark/>
          </w:tcPr>
          <w:p w14:paraId="66727786" w14:textId="6262025D"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50604025" w14:textId="07B010F4"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1789BDEF" w14:textId="10CA1647"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-1 756 846</w:t>
            </w:r>
          </w:p>
        </w:tc>
        <w:tc>
          <w:tcPr>
            <w:tcW w:w="340" w:type="pct"/>
            <w:noWrap/>
            <w:hideMark/>
          </w:tcPr>
          <w:p w14:paraId="1A484248" w14:textId="346509BD"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6123906E" w14:textId="0784CDF4" w:rsidR="000D4BA4" w:rsidRPr="000D4BA4" w:rsidRDefault="000D4BA4" w:rsidP="000D4BA4">
            <w:pPr>
              <w:jc w:val="left"/>
              <w:rPr>
                <w:rFonts w:eastAsia="Times New Roman" w:cs="Times New Roman"/>
                <w:color w:val="000000"/>
                <w:kern w:val="0"/>
                <w:sz w:val="16"/>
                <w:szCs w:val="16"/>
                <w:lang w:eastAsia="et-EE"/>
                <w14:ligatures w14:val="none"/>
              </w:rPr>
            </w:pPr>
            <w:r w:rsidRPr="000D4BA4">
              <w:rPr>
                <w:sz w:val="16"/>
                <w:szCs w:val="16"/>
              </w:rPr>
              <w:t>-1 836 006</w:t>
            </w:r>
          </w:p>
        </w:tc>
        <w:tc>
          <w:tcPr>
            <w:tcW w:w="389" w:type="pct"/>
            <w:noWrap/>
            <w:hideMark/>
          </w:tcPr>
          <w:p w14:paraId="2C68C8B8" w14:textId="3A649327" w:rsidR="000D4BA4" w:rsidRPr="00EA12E7" w:rsidRDefault="000D4BA4"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4AE8FEE1" w14:textId="7A415BBF"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0,07</w:t>
            </w:r>
          </w:p>
        </w:tc>
        <w:tc>
          <w:tcPr>
            <w:tcW w:w="417" w:type="pct"/>
            <w:noWrap/>
            <w:hideMark/>
          </w:tcPr>
          <w:p w14:paraId="6786D4E1" w14:textId="46818973" w:rsidR="000D4BA4" w:rsidRPr="004748A6" w:rsidRDefault="000D4BA4" w:rsidP="000D4BA4">
            <w:pPr>
              <w:jc w:val="left"/>
              <w:rPr>
                <w:rFonts w:eastAsia="Times New Roman" w:cs="Times New Roman"/>
                <w:color w:val="000000"/>
                <w:kern w:val="0"/>
                <w:sz w:val="16"/>
                <w:szCs w:val="16"/>
                <w:lang w:eastAsia="et-EE"/>
                <w14:ligatures w14:val="none"/>
              </w:rPr>
            </w:pPr>
            <w:r w:rsidRPr="004748A6">
              <w:rPr>
                <w:sz w:val="16"/>
                <w:szCs w:val="16"/>
              </w:rPr>
              <w:t>-12,70</w:t>
            </w:r>
          </w:p>
        </w:tc>
      </w:tr>
      <w:tr w:rsidR="008678C6" w:rsidRPr="00EA12E7" w14:paraId="68694508" w14:textId="77777777" w:rsidTr="008678C6">
        <w:trPr>
          <w:trHeight w:val="300"/>
        </w:trPr>
        <w:tc>
          <w:tcPr>
            <w:tcW w:w="341" w:type="pct"/>
            <w:noWrap/>
            <w:hideMark/>
          </w:tcPr>
          <w:p w14:paraId="65613003"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5C7BCA31" w14:textId="70834195"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Alginvesteering tsentraalne liin + IT - ühekordsed kulud (CAPEX)</w:t>
            </w:r>
          </w:p>
        </w:tc>
        <w:tc>
          <w:tcPr>
            <w:tcW w:w="292" w:type="pct"/>
            <w:noWrap/>
            <w:hideMark/>
          </w:tcPr>
          <w:p w14:paraId="1408913F" w14:textId="6F643ECD"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0,6</w:t>
            </w:r>
          </w:p>
        </w:tc>
        <w:tc>
          <w:tcPr>
            <w:tcW w:w="244" w:type="pct"/>
            <w:noWrap/>
            <w:hideMark/>
          </w:tcPr>
          <w:p w14:paraId="27B8D064" w14:textId="2D526CF2"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p>
        </w:tc>
        <w:tc>
          <w:tcPr>
            <w:tcW w:w="340" w:type="pct"/>
            <w:noWrap/>
            <w:hideMark/>
          </w:tcPr>
          <w:p w14:paraId="781F5023" w14:textId="47F6277A"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-1 661 746</w:t>
            </w:r>
          </w:p>
        </w:tc>
        <w:tc>
          <w:tcPr>
            <w:tcW w:w="340" w:type="pct"/>
            <w:noWrap/>
            <w:hideMark/>
          </w:tcPr>
          <w:p w14:paraId="64523750" w14:textId="6980A3ED"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4120E7C8" w14:textId="16BEF7A7"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-1 888 481</w:t>
            </w:r>
          </w:p>
        </w:tc>
        <w:tc>
          <w:tcPr>
            <w:tcW w:w="389" w:type="pct"/>
            <w:noWrap/>
            <w:hideMark/>
          </w:tcPr>
          <w:p w14:paraId="2668B6D4" w14:textId="34D0058B"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C</w:t>
            </w:r>
          </w:p>
        </w:tc>
        <w:tc>
          <w:tcPr>
            <w:tcW w:w="302" w:type="pct"/>
            <w:noWrap/>
            <w:hideMark/>
          </w:tcPr>
          <w:p w14:paraId="1A3AAE52" w14:textId="39C1F3D9" w:rsidR="008678C6" w:rsidRPr="004748A6" w:rsidRDefault="008678C6" w:rsidP="000D4BA4">
            <w:pPr>
              <w:jc w:val="left"/>
              <w:rPr>
                <w:rFonts w:eastAsia="Times New Roman" w:cs="Times New Roman"/>
                <w:color w:val="000000"/>
                <w:kern w:val="0"/>
                <w:sz w:val="16"/>
                <w:szCs w:val="16"/>
                <w:lang w:eastAsia="et-EE"/>
                <w14:ligatures w14:val="none"/>
              </w:rPr>
            </w:pPr>
            <w:r w:rsidRPr="004748A6">
              <w:rPr>
                <w:sz w:val="16"/>
                <w:szCs w:val="16"/>
              </w:rPr>
              <w:t>0,11</w:t>
            </w:r>
          </w:p>
        </w:tc>
        <w:tc>
          <w:tcPr>
            <w:tcW w:w="417" w:type="pct"/>
            <w:noWrap/>
            <w:hideMark/>
          </w:tcPr>
          <w:p w14:paraId="583E4852" w14:textId="0E5E3C7C" w:rsidR="008678C6" w:rsidRPr="004748A6" w:rsidRDefault="008678C6" w:rsidP="000D4BA4">
            <w:pPr>
              <w:jc w:val="left"/>
              <w:rPr>
                <w:rFonts w:eastAsia="Times New Roman" w:cs="Times New Roman"/>
                <w:color w:val="000000"/>
                <w:kern w:val="0"/>
                <w:sz w:val="16"/>
                <w:szCs w:val="16"/>
                <w:lang w:eastAsia="et-EE"/>
                <w14:ligatures w14:val="none"/>
              </w:rPr>
            </w:pPr>
            <w:r w:rsidRPr="004748A6">
              <w:rPr>
                <w:sz w:val="16"/>
                <w:szCs w:val="16"/>
              </w:rPr>
              <w:t>-7,88</w:t>
            </w:r>
          </w:p>
        </w:tc>
      </w:tr>
      <w:tr w:rsidR="008678C6" w:rsidRPr="00EA12E7" w14:paraId="225DB0B4" w14:textId="77777777" w:rsidTr="008678C6">
        <w:trPr>
          <w:trHeight w:val="300"/>
        </w:trPr>
        <w:tc>
          <w:tcPr>
            <w:tcW w:w="341" w:type="pct"/>
            <w:noWrap/>
            <w:hideMark/>
          </w:tcPr>
          <w:p w14:paraId="298A3C8B"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374164E8" w14:textId="3B1D8BD5"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III jäätmed (korduskasutus)</w:t>
            </w:r>
          </w:p>
        </w:tc>
        <w:tc>
          <w:tcPr>
            <w:tcW w:w="292" w:type="pct"/>
            <w:noWrap/>
            <w:hideMark/>
          </w:tcPr>
          <w:p w14:paraId="62C8EBE6" w14:textId="0C514213"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510ECBAB" w14:textId="25E20AFB"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3FA8354A" w14:textId="0E39A041"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-1 695 114</w:t>
            </w:r>
          </w:p>
        </w:tc>
        <w:tc>
          <w:tcPr>
            <w:tcW w:w="340" w:type="pct"/>
            <w:noWrap/>
            <w:hideMark/>
          </w:tcPr>
          <w:p w14:paraId="33112D61" w14:textId="5DF16A4D"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35069F61" w14:textId="27D85398"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-1 855 114</w:t>
            </w:r>
          </w:p>
        </w:tc>
        <w:tc>
          <w:tcPr>
            <w:tcW w:w="389" w:type="pct"/>
            <w:noWrap/>
            <w:hideMark/>
          </w:tcPr>
          <w:p w14:paraId="5A1D2E78" w14:textId="2B37C26F"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2C8C9074" w14:textId="2A9A4D4C" w:rsidR="008678C6" w:rsidRPr="004748A6" w:rsidRDefault="008678C6" w:rsidP="000D4BA4">
            <w:pPr>
              <w:jc w:val="left"/>
              <w:rPr>
                <w:rFonts w:eastAsia="Times New Roman" w:cs="Times New Roman"/>
                <w:color w:val="000000"/>
                <w:kern w:val="0"/>
                <w:sz w:val="16"/>
                <w:szCs w:val="16"/>
                <w:lang w:eastAsia="et-EE"/>
                <w14:ligatures w14:val="none"/>
              </w:rPr>
            </w:pPr>
            <w:r w:rsidRPr="004748A6">
              <w:rPr>
                <w:sz w:val="16"/>
                <w:szCs w:val="16"/>
              </w:rPr>
              <w:t>0,00</w:t>
            </w:r>
          </w:p>
        </w:tc>
        <w:tc>
          <w:tcPr>
            <w:tcW w:w="417" w:type="pct"/>
            <w:noWrap/>
            <w:hideMark/>
          </w:tcPr>
          <w:p w14:paraId="278E8A55" w14:textId="589E5DA0" w:rsidR="008678C6" w:rsidRPr="004748A6" w:rsidRDefault="008678C6" w:rsidP="000D4BA4">
            <w:pPr>
              <w:jc w:val="left"/>
              <w:rPr>
                <w:rFonts w:eastAsia="Times New Roman" w:cs="Times New Roman"/>
                <w:color w:val="000000"/>
                <w:kern w:val="0"/>
                <w:sz w:val="16"/>
                <w:szCs w:val="16"/>
                <w:lang w:eastAsia="et-EE"/>
                <w14:ligatures w14:val="none"/>
              </w:rPr>
            </w:pPr>
            <w:r w:rsidRPr="004748A6">
              <w:rPr>
                <w:sz w:val="16"/>
                <w:szCs w:val="16"/>
              </w:rPr>
              <w:t>-199,22</w:t>
            </w:r>
          </w:p>
        </w:tc>
      </w:tr>
      <w:tr w:rsidR="008678C6" w:rsidRPr="00EA12E7" w14:paraId="303EC818" w14:textId="77777777" w:rsidTr="008678C6">
        <w:trPr>
          <w:trHeight w:val="300"/>
        </w:trPr>
        <w:tc>
          <w:tcPr>
            <w:tcW w:w="341" w:type="pct"/>
            <w:noWrap/>
            <w:hideMark/>
          </w:tcPr>
          <w:p w14:paraId="7F50AA5A" w14:textId="77777777" w:rsidR="008678C6" w:rsidRPr="00EA12E7" w:rsidRDefault="008678C6" w:rsidP="000D4BA4">
            <w:pPr>
              <w:jc w:val="left"/>
              <w:rPr>
                <w:rFonts w:eastAsia="Times New Roman" w:cs="Times New Roman"/>
                <w:kern w:val="0"/>
                <w:sz w:val="16"/>
                <w:szCs w:val="16"/>
                <w:lang w:eastAsia="et-EE"/>
                <w14:ligatures w14:val="none"/>
              </w:rPr>
            </w:pPr>
          </w:p>
        </w:tc>
        <w:tc>
          <w:tcPr>
            <w:tcW w:w="1994" w:type="pct"/>
            <w:noWrap/>
            <w:hideMark/>
          </w:tcPr>
          <w:p w14:paraId="54A42B0A" w14:textId="54C154EA"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IV teenustasu (</w:t>
            </w:r>
            <w:proofErr w:type="spellStart"/>
            <w:r w:rsidRPr="00EA12E7">
              <w:rPr>
                <w:rFonts w:eastAsia="Times New Roman" w:cs="Times New Roman"/>
                <w:color w:val="000000"/>
                <w:kern w:val="0"/>
                <w:sz w:val="16"/>
                <w:szCs w:val="16"/>
                <w:lang w:eastAsia="et-EE"/>
                <w14:ligatures w14:val="none"/>
              </w:rPr>
              <w:t>eur</w:t>
            </w:r>
            <w:proofErr w:type="spellEnd"/>
            <w:r w:rsidRPr="00EA12E7">
              <w:rPr>
                <w:rFonts w:eastAsia="Times New Roman" w:cs="Times New Roman"/>
                <w:color w:val="000000"/>
                <w:kern w:val="0"/>
                <w:sz w:val="16"/>
                <w:szCs w:val="16"/>
                <w:lang w:eastAsia="et-EE"/>
                <w14:ligatures w14:val="none"/>
              </w:rPr>
              <w:t xml:space="preserve">/serveering * </w:t>
            </w:r>
            <w:proofErr w:type="spellStart"/>
            <w:r w:rsidRPr="00EA12E7">
              <w:rPr>
                <w:rFonts w:eastAsia="Times New Roman" w:cs="Times New Roman"/>
                <w:color w:val="000000"/>
                <w:kern w:val="0"/>
                <w:sz w:val="16"/>
                <w:szCs w:val="16"/>
                <w:lang w:eastAsia="et-EE"/>
                <w14:ligatures w14:val="none"/>
              </w:rPr>
              <w:t>Qy</w:t>
            </w:r>
            <w:proofErr w:type="spellEnd"/>
            <w:r w:rsidRPr="00EA12E7">
              <w:rPr>
                <w:rFonts w:eastAsia="Times New Roman" w:cs="Times New Roman"/>
                <w:color w:val="000000"/>
                <w:kern w:val="0"/>
                <w:sz w:val="16"/>
                <w:szCs w:val="16"/>
                <w:lang w:eastAsia="et-EE"/>
                <w14:ligatures w14:val="none"/>
              </w:rPr>
              <w:t>)</w:t>
            </w:r>
          </w:p>
        </w:tc>
        <w:tc>
          <w:tcPr>
            <w:tcW w:w="292" w:type="pct"/>
            <w:noWrap/>
            <w:hideMark/>
          </w:tcPr>
          <w:p w14:paraId="391411A6" w14:textId="0B540A2E"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0,8</w:t>
            </w:r>
          </w:p>
        </w:tc>
        <w:tc>
          <w:tcPr>
            <w:tcW w:w="244" w:type="pct"/>
            <w:noWrap/>
            <w:hideMark/>
          </w:tcPr>
          <w:p w14:paraId="51F5E02D" w14:textId="4070917D"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1,2</w:t>
            </w:r>
          </w:p>
        </w:tc>
        <w:tc>
          <w:tcPr>
            <w:tcW w:w="340" w:type="pct"/>
            <w:noWrap/>
            <w:hideMark/>
          </w:tcPr>
          <w:p w14:paraId="60A5F424" w14:textId="07FFA438"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-1 773 340</w:t>
            </w:r>
          </w:p>
        </w:tc>
        <w:tc>
          <w:tcPr>
            <w:tcW w:w="340" w:type="pct"/>
            <w:noWrap/>
            <w:hideMark/>
          </w:tcPr>
          <w:p w14:paraId="5993E217" w14:textId="736764D2"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-1 775 114</w:t>
            </w:r>
          </w:p>
        </w:tc>
        <w:tc>
          <w:tcPr>
            <w:tcW w:w="341" w:type="pct"/>
            <w:noWrap/>
            <w:hideMark/>
          </w:tcPr>
          <w:p w14:paraId="19558478" w14:textId="1E896D02" w:rsidR="008678C6" w:rsidRPr="000D4BA4" w:rsidRDefault="008678C6" w:rsidP="000D4BA4">
            <w:pPr>
              <w:jc w:val="left"/>
              <w:rPr>
                <w:rFonts w:eastAsia="Times New Roman" w:cs="Times New Roman"/>
                <w:color w:val="000000"/>
                <w:kern w:val="0"/>
                <w:sz w:val="16"/>
                <w:szCs w:val="16"/>
                <w:lang w:eastAsia="et-EE"/>
                <w14:ligatures w14:val="none"/>
              </w:rPr>
            </w:pPr>
            <w:r w:rsidRPr="000D4BA4">
              <w:rPr>
                <w:sz w:val="16"/>
                <w:szCs w:val="16"/>
              </w:rPr>
              <w:t>-1 776 887</w:t>
            </w:r>
          </w:p>
        </w:tc>
        <w:tc>
          <w:tcPr>
            <w:tcW w:w="389" w:type="pct"/>
            <w:noWrap/>
            <w:hideMark/>
          </w:tcPr>
          <w:p w14:paraId="00C7A998" w14:textId="22FBA5B9" w:rsidR="008678C6" w:rsidRPr="00EA12E7"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B</w:t>
            </w:r>
          </w:p>
        </w:tc>
        <w:tc>
          <w:tcPr>
            <w:tcW w:w="302" w:type="pct"/>
            <w:noWrap/>
            <w:hideMark/>
          </w:tcPr>
          <w:p w14:paraId="06C1CFF7" w14:textId="578E0E5A" w:rsidR="008678C6" w:rsidRPr="004748A6" w:rsidRDefault="008678C6" w:rsidP="000D4BA4">
            <w:pPr>
              <w:jc w:val="lef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1,4</w:t>
            </w:r>
            <w:r>
              <w:rPr>
                <w:rFonts w:eastAsia="Times New Roman" w:cs="Times New Roman"/>
                <w:color w:val="000000"/>
                <w:kern w:val="0"/>
                <w:sz w:val="16"/>
                <w:szCs w:val="16"/>
                <w:lang w:eastAsia="et-EE"/>
                <w14:ligatures w14:val="none"/>
              </w:rPr>
              <w:t>4</w:t>
            </w:r>
          </w:p>
        </w:tc>
        <w:tc>
          <w:tcPr>
            <w:tcW w:w="417" w:type="pct"/>
            <w:noWrap/>
            <w:hideMark/>
          </w:tcPr>
          <w:p w14:paraId="5453DC7F" w14:textId="7049936D" w:rsidR="008678C6" w:rsidRPr="004748A6" w:rsidRDefault="008678C6" w:rsidP="000D4BA4">
            <w:pPr>
              <w:jc w:val="left"/>
              <w:rPr>
                <w:rFonts w:eastAsia="Times New Roman" w:cs="Times New Roman"/>
                <w:color w:val="000000"/>
                <w:kern w:val="0"/>
                <w:sz w:val="16"/>
                <w:szCs w:val="16"/>
                <w:lang w:eastAsia="et-EE"/>
                <w14:ligatures w14:val="none"/>
              </w:rPr>
            </w:pPr>
            <w:r>
              <w:rPr>
                <w:rFonts w:eastAsia="Times New Roman" w:cs="Times New Roman"/>
                <w:color w:val="000000"/>
                <w:kern w:val="0"/>
                <w:sz w:val="16"/>
                <w:szCs w:val="16"/>
                <w:lang w:eastAsia="et-EE"/>
                <w14:ligatures w14:val="none"/>
              </w:rPr>
              <w:t>-0,69</w:t>
            </w:r>
          </w:p>
        </w:tc>
      </w:tr>
      <w:tr w:rsidR="008678C6" w:rsidRPr="00EA12E7" w14:paraId="7AD20960" w14:textId="77777777" w:rsidTr="008678C6">
        <w:trPr>
          <w:trHeight w:val="300"/>
        </w:trPr>
        <w:tc>
          <w:tcPr>
            <w:tcW w:w="341" w:type="pct"/>
            <w:shd w:val="clear" w:color="auto" w:fill="DAE9F7" w:themeFill="text2" w:themeFillTint="1A"/>
            <w:noWrap/>
            <w:hideMark/>
          </w:tcPr>
          <w:p w14:paraId="738F1BAE" w14:textId="51A9B2C2" w:rsidR="008678C6" w:rsidRPr="00EA12E7" w:rsidRDefault="008678C6" w:rsidP="000D4BA4">
            <w:pPr>
              <w:jc w:val="right"/>
              <w:rPr>
                <w:rFonts w:eastAsia="Times New Roman" w:cs="Times New Roman"/>
                <w:color w:val="000000"/>
                <w:kern w:val="0"/>
                <w:sz w:val="16"/>
                <w:szCs w:val="16"/>
                <w:lang w:eastAsia="et-EE"/>
                <w14:ligatures w14:val="none"/>
              </w:rPr>
            </w:pPr>
            <w:r w:rsidRPr="00EA12E7">
              <w:rPr>
                <w:rFonts w:eastAsia="Times New Roman" w:cs="Times New Roman"/>
                <w:color w:val="000000"/>
                <w:kern w:val="0"/>
                <w:sz w:val="16"/>
                <w:szCs w:val="16"/>
                <w:lang w:eastAsia="et-EE"/>
                <w14:ligatures w14:val="none"/>
              </w:rPr>
              <w:t>Teenus3</w:t>
            </w:r>
          </w:p>
        </w:tc>
        <w:tc>
          <w:tcPr>
            <w:tcW w:w="1994" w:type="pct"/>
            <w:shd w:val="clear" w:color="auto" w:fill="DAE9F7" w:themeFill="text2" w:themeFillTint="1A"/>
            <w:noWrap/>
            <w:hideMark/>
          </w:tcPr>
          <w:p w14:paraId="5425CFAE" w14:textId="6997955A" w:rsidR="008678C6" w:rsidRPr="00EA12E7"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Alginvesteering nõud - ühekordsed kulud</w:t>
            </w:r>
          </w:p>
        </w:tc>
        <w:tc>
          <w:tcPr>
            <w:tcW w:w="292" w:type="pct"/>
            <w:shd w:val="clear" w:color="auto" w:fill="DAE9F7" w:themeFill="text2" w:themeFillTint="1A"/>
            <w:noWrap/>
            <w:hideMark/>
          </w:tcPr>
          <w:p w14:paraId="499D2E96" w14:textId="5A1981D1" w:rsidR="008678C6" w:rsidRPr="00EA12E7" w:rsidRDefault="008678C6" w:rsidP="000D4BA4">
            <w:pPr>
              <w:jc w:val="left"/>
              <w:rPr>
                <w:rFonts w:eastAsia="Times New Roman" w:cs="Times New Roman"/>
                <w:color w:val="000000"/>
                <w:kern w:val="0"/>
                <w:sz w:val="16"/>
                <w:szCs w:val="16"/>
                <w:lang w:eastAsia="et-EE"/>
                <w14:ligatures w14:val="none"/>
              </w:rPr>
            </w:pPr>
            <w:r w:rsidRPr="008678C6">
              <w:rPr>
                <w:sz w:val="16"/>
                <w:szCs w:val="16"/>
              </w:rPr>
              <w:t>0,6</w:t>
            </w:r>
          </w:p>
        </w:tc>
        <w:tc>
          <w:tcPr>
            <w:tcW w:w="244" w:type="pct"/>
            <w:shd w:val="clear" w:color="auto" w:fill="DAE9F7" w:themeFill="text2" w:themeFillTint="1A"/>
            <w:noWrap/>
            <w:hideMark/>
          </w:tcPr>
          <w:p w14:paraId="2E110B4F" w14:textId="5CDD7637" w:rsidR="008678C6" w:rsidRPr="00EA12E7" w:rsidRDefault="008678C6" w:rsidP="000D4BA4">
            <w:pPr>
              <w:jc w:val="left"/>
              <w:rPr>
                <w:rFonts w:eastAsia="Times New Roman" w:cs="Times New Roman"/>
                <w:color w:val="000000"/>
                <w:kern w:val="0"/>
                <w:sz w:val="16"/>
                <w:szCs w:val="16"/>
                <w:lang w:eastAsia="et-EE"/>
                <w14:ligatures w14:val="none"/>
              </w:rPr>
            </w:pPr>
            <w:r w:rsidRPr="008678C6">
              <w:rPr>
                <w:sz w:val="16"/>
                <w:szCs w:val="16"/>
              </w:rPr>
              <w:t>1,4</w:t>
            </w:r>
          </w:p>
        </w:tc>
        <w:tc>
          <w:tcPr>
            <w:tcW w:w="340" w:type="pct"/>
            <w:shd w:val="clear" w:color="auto" w:fill="DAE9F7" w:themeFill="text2" w:themeFillTint="1A"/>
            <w:noWrap/>
            <w:hideMark/>
          </w:tcPr>
          <w:p w14:paraId="5EEB8EDE" w14:textId="08647DC6" w:rsidR="008678C6" w:rsidRPr="000D4BA4" w:rsidRDefault="008678C6" w:rsidP="000D4BA4">
            <w:pPr>
              <w:jc w:val="left"/>
              <w:rPr>
                <w:rFonts w:eastAsia="Times New Roman" w:cs="Times New Roman"/>
                <w:color w:val="000000"/>
                <w:kern w:val="0"/>
                <w:sz w:val="16"/>
                <w:szCs w:val="16"/>
                <w:lang w:eastAsia="et-EE"/>
                <w14:ligatures w14:val="none"/>
              </w:rPr>
            </w:pPr>
            <w:r w:rsidRPr="008678C6">
              <w:rPr>
                <w:sz w:val="16"/>
                <w:szCs w:val="16"/>
              </w:rPr>
              <w:t>35 216</w:t>
            </w:r>
          </w:p>
        </w:tc>
        <w:tc>
          <w:tcPr>
            <w:tcW w:w="340" w:type="pct"/>
            <w:shd w:val="clear" w:color="auto" w:fill="DAE9F7" w:themeFill="text2" w:themeFillTint="1A"/>
            <w:noWrap/>
            <w:hideMark/>
          </w:tcPr>
          <w:p w14:paraId="0DD4CB32" w14:textId="4DF80D62" w:rsidR="008678C6" w:rsidRPr="000D4BA4"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shd w:val="clear" w:color="auto" w:fill="DAE9F7" w:themeFill="text2" w:themeFillTint="1A"/>
            <w:noWrap/>
            <w:hideMark/>
          </w:tcPr>
          <w:p w14:paraId="3783E9E6" w14:textId="185C68E1" w:rsidR="008678C6" w:rsidRPr="000D4BA4" w:rsidRDefault="008678C6" w:rsidP="000D4BA4">
            <w:pPr>
              <w:jc w:val="left"/>
              <w:rPr>
                <w:rFonts w:eastAsia="Times New Roman" w:cs="Times New Roman"/>
                <w:color w:val="000000"/>
                <w:kern w:val="0"/>
                <w:sz w:val="16"/>
                <w:szCs w:val="16"/>
                <w:lang w:eastAsia="et-EE"/>
                <w14:ligatures w14:val="none"/>
              </w:rPr>
            </w:pPr>
            <w:r w:rsidRPr="008678C6">
              <w:rPr>
                <w:sz w:val="16"/>
                <w:szCs w:val="16"/>
              </w:rPr>
              <w:t>33 414</w:t>
            </w:r>
          </w:p>
        </w:tc>
        <w:tc>
          <w:tcPr>
            <w:tcW w:w="389" w:type="pct"/>
            <w:shd w:val="clear" w:color="auto" w:fill="DAE9F7" w:themeFill="text2" w:themeFillTint="1A"/>
            <w:noWrap/>
            <w:hideMark/>
          </w:tcPr>
          <w:p w14:paraId="5AB0E0E3" w14:textId="511B0BCA" w:rsidR="008678C6" w:rsidRPr="00EA12E7" w:rsidRDefault="008678C6" w:rsidP="000D4BA4">
            <w:pPr>
              <w:jc w:val="left"/>
              <w:rPr>
                <w:rFonts w:eastAsia="Times New Roman" w:cs="Times New Roman"/>
                <w:color w:val="000000"/>
                <w:kern w:val="0"/>
                <w:sz w:val="16"/>
                <w:szCs w:val="16"/>
                <w:lang w:eastAsia="et-EE"/>
                <w14:ligatures w14:val="none"/>
              </w:rPr>
            </w:pPr>
            <w:r w:rsidRPr="008678C6">
              <w:rPr>
                <w:sz w:val="16"/>
                <w:szCs w:val="16"/>
              </w:rPr>
              <w:t>C</w:t>
            </w:r>
          </w:p>
        </w:tc>
        <w:tc>
          <w:tcPr>
            <w:tcW w:w="302" w:type="pct"/>
            <w:shd w:val="clear" w:color="auto" w:fill="DAE9F7" w:themeFill="text2" w:themeFillTint="1A"/>
            <w:noWrap/>
            <w:hideMark/>
          </w:tcPr>
          <w:p w14:paraId="4EB0577B" w14:textId="3A8084B5" w:rsidR="008678C6" w:rsidRPr="004748A6" w:rsidRDefault="008678C6" w:rsidP="000D4BA4">
            <w:pPr>
              <w:jc w:val="left"/>
              <w:rPr>
                <w:rFonts w:eastAsia="Times New Roman" w:cs="Times New Roman"/>
                <w:color w:val="000000"/>
                <w:kern w:val="0"/>
                <w:sz w:val="16"/>
                <w:szCs w:val="16"/>
                <w:lang w:eastAsia="et-EE"/>
                <w14:ligatures w14:val="none"/>
              </w:rPr>
            </w:pPr>
            <w:r w:rsidRPr="008678C6">
              <w:rPr>
                <w:sz w:val="16"/>
                <w:szCs w:val="16"/>
              </w:rPr>
              <w:t>0,07</w:t>
            </w:r>
          </w:p>
        </w:tc>
        <w:tc>
          <w:tcPr>
            <w:tcW w:w="417" w:type="pct"/>
            <w:shd w:val="clear" w:color="auto" w:fill="DAE9F7" w:themeFill="text2" w:themeFillTint="1A"/>
            <w:noWrap/>
            <w:hideMark/>
          </w:tcPr>
          <w:p w14:paraId="5E18DC8E" w14:textId="3387B711" w:rsidR="008678C6" w:rsidRPr="004748A6" w:rsidRDefault="008678C6" w:rsidP="000D4BA4">
            <w:pPr>
              <w:jc w:val="left"/>
              <w:rPr>
                <w:rFonts w:eastAsia="Times New Roman" w:cs="Times New Roman"/>
                <w:color w:val="000000"/>
                <w:kern w:val="0"/>
                <w:sz w:val="16"/>
                <w:szCs w:val="16"/>
                <w:lang w:eastAsia="et-EE"/>
                <w14:ligatures w14:val="none"/>
              </w:rPr>
            </w:pPr>
            <w:r w:rsidRPr="008678C6">
              <w:rPr>
                <w:sz w:val="16"/>
                <w:szCs w:val="16"/>
              </w:rPr>
              <w:t>16,2</w:t>
            </w:r>
          </w:p>
        </w:tc>
      </w:tr>
      <w:tr w:rsidR="008678C6" w:rsidRPr="00EA12E7" w14:paraId="630C63F8" w14:textId="77777777" w:rsidTr="008678C6">
        <w:trPr>
          <w:trHeight w:val="300"/>
        </w:trPr>
        <w:tc>
          <w:tcPr>
            <w:tcW w:w="341" w:type="pct"/>
            <w:noWrap/>
            <w:hideMark/>
          </w:tcPr>
          <w:p w14:paraId="66BEA740" w14:textId="7886C5BD"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3B233A5C" w14:textId="35B89CF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Alginvesteering lisaruumi sisustamine / riiulid / ventilatsioon</w:t>
            </w:r>
          </w:p>
        </w:tc>
        <w:tc>
          <w:tcPr>
            <w:tcW w:w="292" w:type="pct"/>
            <w:noWrap/>
            <w:hideMark/>
          </w:tcPr>
          <w:p w14:paraId="5182BBC7" w14:textId="3D55386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0,6</w:t>
            </w:r>
          </w:p>
        </w:tc>
        <w:tc>
          <w:tcPr>
            <w:tcW w:w="244" w:type="pct"/>
            <w:noWrap/>
            <w:hideMark/>
          </w:tcPr>
          <w:p w14:paraId="1F6AB1C3" w14:textId="2AA6B82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1,4</w:t>
            </w:r>
          </w:p>
        </w:tc>
        <w:tc>
          <w:tcPr>
            <w:tcW w:w="340" w:type="pct"/>
            <w:noWrap/>
            <w:hideMark/>
          </w:tcPr>
          <w:p w14:paraId="5B3251F7" w14:textId="113069D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37 515</w:t>
            </w:r>
          </w:p>
        </w:tc>
        <w:tc>
          <w:tcPr>
            <w:tcW w:w="340" w:type="pct"/>
            <w:noWrap/>
            <w:hideMark/>
          </w:tcPr>
          <w:p w14:paraId="347F5F8D" w14:textId="3DA39ED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15817081" w14:textId="3A5F1CB0"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31 115</w:t>
            </w:r>
          </w:p>
        </w:tc>
        <w:tc>
          <w:tcPr>
            <w:tcW w:w="389" w:type="pct"/>
            <w:noWrap/>
            <w:hideMark/>
          </w:tcPr>
          <w:p w14:paraId="21C5B4E5" w14:textId="3908CE2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C</w:t>
            </w:r>
          </w:p>
        </w:tc>
        <w:tc>
          <w:tcPr>
            <w:tcW w:w="302" w:type="pct"/>
            <w:noWrap/>
            <w:hideMark/>
          </w:tcPr>
          <w:p w14:paraId="38B9793A" w14:textId="5EE578D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0,23</w:t>
            </w:r>
          </w:p>
        </w:tc>
        <w:tc>
          <w:tcPr>
            <w:tcW w:w="417" w:type="pct"/>
            <w:noWrap/>
            <w:hideMark/>
          </w:tcPr>
          <w:p w14:paraId="3E6C7D36" w14:textId="7ECDABA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5,3</w:t>
            </w:r>
          </w:p>
        </w:tc>
      </w:tr>
      <w:tr w:rsidR="008678C6" w:rsidRPr="00EA12E7" w14:paraId="6725307C" w14:textId="77777777" w:rsidTr="008678C6">
        <w:trPr>
          <w:trHeight w:val="300"/>
        </w:trPr>
        <w:tc>
          <w:tcPr>
            <w:tcW w:w="341" w:type="pct"/>
            <w:noWrap/>
            <w:hideMark/>
          </w:tcPr>
          <w:p w14:paraId="6D641BC0" w14:textId="3368B01F"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34897BDA" w14:textId="3E627AB5"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pesu – vesi</w:t>
            </w:r>
          </w:p>
        </w:tc>
        <w:tc>
          <w:tcPr>
            <w:tcW w:w="292" w:type="pct"/>
            <w:noWrap/>
            <w:hideMark/>
          </w:tcPr>
          <w:p w14:paraId="196131A4" w14:textId="1BE084F4"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0,8</w:t>
            </w:r>
          </w:p>
        </w:tc>
        <w:tc>
          <w:tcPr>
            <w:tcW w:w="244" w:type="pct"/>
            <w:noWrap/>
            <w:hideMark/>
          </w:tcPr>
          <w:p w14:paraId="40BA1315" w14:textId="719BD11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1,2</w:t>
            </w:r>
          </w:p>
        </w:tc>
        <w:tc>
          <w:tcPr>
            <w:tcW w:w="340" w:type="pct"/>
            <w:noWrap/>
            <w:hideMark/>
          </w:tcPr>
          <w:p w14:paraId="3D7AD071" w14:textId="065F2B54"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34 461</w:t>
            </w:r>
          </w:p>
        </w:tc>
        <w:tc>
          <w:tcPr>
            <w:tcW w:w="340" w:type="pct"/>
            <w:noWrap/>
            <w:hideMark/>
          </w:tcPr>
          <w:p w14:paraId="2B9B414A" w14:textId="0A79FA6B"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7E247D3C" w14:textId="08C1AFD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34 169</w:t>
            </w:r>
          </w:p>
        </w:tc>
        <w:tc>
          <w:tcPr>
            <w:tcW w:w="389" w:type="pct"/>
            <w:noWrap/>
            <w:hideMark/>
          </w:tcPr>
          <w:p w14:paraId="58E56054" w14:textId="7357DEF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72AD6854" w14:textId="566A71C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0,02</w:t>
            </w:r>
          </w:p>
        </w:tc>
        <w:tc>
          <w:tcPr>
            <w:tcW w:w="417" w:type="pct"/>
            <w:noWrap/>
            <w:hideMark/>
          </w:tcPr>
          <w:p w14:paraId="01885B5A" w14:textId="2CAA537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48,0</w:t>
            </w:r>
          </w:p>
        </w:tc>
      </w:tr>
      <w:tr w:rsidR="008678C6" w:rsidRPr="00EA12E7" w14:paraId="20EF4B36" w14:textId="77777777" w:rsidTr="008678C6">
        <w:trPr>
          <w:trHeight w:val="300"/>
        </w:trPr>
        <w:tc>
          <w:tcPr>
            <w:tcW w:w="341" w:type="pct"/>
            <w:noWrap/>
            <w:hideMark/>
          </w:tcPr>
          <w:p w14:paraId="18C1E602" w14:textId="72AE226C"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61A19B50" w14:textId="63D5133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pesu – elekter/aur</w:t>
            </w:r>
          </w:p>
        </w:tc>
        <w:tc>
          <w:tcPr>
            <w:tcW w:w="292" w:type="pct"/>
            <w:noWrap/>
            <w:hideMark/>
          </w:tcPr>
          <w:p w14:paraId="0FD03BEF" w14:textId="1777FB7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0,8</w:t>
            </w:r>
          </w:p>
        </w:tc>
        <w:tc>
          <w:tcPr>
            <w:tcW w:w="244" w:type="pct"/>
            <w:noWrap/>
            <w:hideMark/>
          </w:tcPr>
          <w:p w14:paraId="4297FA91" w14:textId="68F7B06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1,2</w:t>
            </w:r>
          </w:p>
        </w:tc>
        <w:tc>
          <w:tcPr>
            <w:tcW w:w="340" w:type="pct"/>
            <w:noWrap/>
            <w:hideMark/>
          </w:tcPr>
          <w:p w14:paraId="5B747619" w14:textId="43C6AF2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34 593</w:t>
            </w:r>
          </w:p>
        </w:tc>
        <w:tc>
          <w:tcPr>
            <w:tcW w:w="340" w:type="pct"/>
            <w:noWrap/>
            <w:hideMark/>
          </w:tcPr>
          <w:p w14:paraId="1DE38CBA" w14:textId="378312A0"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3D9A87C6" w14:textId="3839F15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34 037</w:t>
            </w:r>
          </w:p>
        </w:tc>
        <w:tc>
          <w:tcPr>
            <w:tcW w:w="389" w:type="pct"/>
            <w:noWrap/>
            <w:hideMark/>
          </w:tcPr>
          <w:p w14:paraId="6C57865A" w14:textId="076EADE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74CA1936" w14:textId="27C4BC3A"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0,04</w:t>
            </w:r>
          </w:p>
        </w:tc>
        <w:tc>
          <w:tcPr>
            <w:tcW w:w="417" w:type="pct"/>
            <w:noWrap/>
            <w:hideMark/>
          </w:tcPr>
          <w:p w14:paraId="083629D3" w14:textId="5BAC54E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25,7</w:t>
            </w:r>
          </w:p>
        </w:tc>
      </w:tr>
      <w:tr w:rsidR="008678C6" w:rsidRPr="00EA12E7" w14:paraId="42994F26" w14:textId="77777777" w:rsidTr="008678C6">
        <w:trPr>
          <w:trHeight w:val="300"/>
        </w:trPr>
        <w:tc>
          <w:tcPr>
            <w:tcW w:w="341" w:type="pct"/>
            <w:noWrap/>
            <w:hideMark/>
          </w:tcPr>
          <w:p w14:paraId="17251C01" w14:textId="1E90BD96"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05B00D7C" w14:textId="65618A4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pesu – pesuvahend</w:t>
            </w:r>
          </w:p>
        </w:tc>
        <w:tc>
          <w:tcPr>
            <w:tcW w:w="292" w:type="pct"/>
            <w:noWrap/>
            <w:hideMark/>
          </w:tcPr>
          <w:p w14:paraId="4E020D96" w14:textId="1FB381F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0,8</w:t>
            </w:r>
          </w:p>
        </w:tc>
        <w:tc>
          <w:tcPr>
            <w:tcW w:w="244" w:type="pct"/>
            <w:noWrap/>
            <w:hideMark/>
          </w:tcPr>
          <w:p w14:paraId="3FD00E88" w14:textId="0BFC078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1,2</w:t>
            </w:r>
          </w:p>
        </w:tc>
        <w:tc>
          <w:tcPr>
            <w:tcW w:w="340" w:type="pct"/>
            <w:noWrap/>
            <w:hideMark/>
          </w:tcPr>
          <w:p w14:paraId="2BCA457C" w14:textId="3C7B0BF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41 312</w:t>
            </w:r>
          </w:p>
        </w:tc>
        <w:tc>
          <w:tcPr>
            <w:tcW w:w="340" w:type="pct"/>
            <w:noWrap/>
            <w:hideMark/>
          </w:tcPr>
          <w:p w14:paraId="09D863DE" w14:textId="1207263B"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4D7BE981" w14:textId="6DCAAD12"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27 318</w:t>
            </w:r>
          </w:p>
        </w:tc>
        <w:tc>
          <w:tcPr>
            <w:tcW w:w="389" w:type="pct"/>
            <w:noWrap/>
            <w:hideMark/>
          </w:tcPr>
          <w:p w14:paraId="25B9DA00" w14:textId="2CFB8B95"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65ECE732" w14:textId="69E66D5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1,02</w:t>
            </w:r>
          </w:p>
        </w:tc>
        <w:tc>
          <w:tcPr>
            <w:tcW w:w="417" w:type="pct"/>
            <w:noWrap/>
            <w:hideMark/>
          </w:tcPr>
          <w:p w14:paraId="4C6E6804" w14:textId="04B00A9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2,0</w:t>
            </w:r>
          </w:p>
        </w:tc>
      </w:tr>
      <w:tr w:rsidR="008678C6" w:rsidRPr="00EA12E7" w14:paraId="28D3B345" w14:textId="77777777" w:rsidTr="008678C6">
        <w:trPr>
          <w:trHeight w:val="300"/>
        </w:trPr>
        <w:tc>
          <w:tcPr>
            <w:tcW w:w="341" w:type="pct"/>
            <w:noWrap/>
            <w:hideMark/>
          </w:tcPr>
          <w:p w14:paraId="0E7E3BA6" w14:textId="4915FBEA" w:rsidR="008678C6" w:rsidRPr="00EA12E7" w:rsidRDefault="008678C6" w:rsidP="000D4BA4">
            <w:pPr>
              <w:jc w:val="left"/>
              <w:rPr>
                <w:rFonts w:eastAsia="Times New Roman" w:cs="Times New Roman"/>
                <w:color w:val="000000"/>
                <w:kern w:val="0"/>
                <w:sz w:val="16"/>
                <w:szCs w:val="16"/>
                <w:lang w:eastAsia="et-EE"/>
                <w14:ligatures w14:val="none"/>
              </w:rPr>
            </w:pPr>
          </w:p>
        </w:tc>
        <w:tc>
          <w:tcPr>
            <w:tcW w:w="1994" w:type="pct"/>
            <w:noWrap/>
            <w:hideMark/>
          </w:tcPr>
          <w:p w14:paraId="1BC316CA" w14:textId="4B0A913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tööjõud &amp; hooldus</w:t>
            </w:r>
          </w:p>
        </w:tc>
        <w:tc>
          <w:tcPr>
            <w:tcW w:w="292" w:type="pct"/>
            <w:noWrap/>
            <w:hideMark/>
          </w:tcPr>
          <w:p w14:paraId="264E01CD" w14:textId="0645F77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0,8</w:t>
            </w:r>
          </w:p>
        </w:tc>
        <w:tc>
          <w:tcPr>
            <w:tcW w:w="244" w:type="pct"/>
            <w:noWrap/>
            <w:hideMark/>
          </w:tcPr>
          <w:p w14:paraId="19A7D4B7" w14:textId="5C4BB652"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1,2</w:t>
            </w:r>
          </w:p>
        </w:tc>
        <w:tc>
          <w:tcPr>
            <w:tcW w:w="340" w:type="pct"/>
            <w:noWrap/>
            <w:hideMark/>
          </w:tcPr>
          <w:p w14:paraId="56982FA5" w14:textId="54FDD28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36 432</w:t>
            </w:r>
          </w:p>
        </w:tc>
        <w:tc>
          <w:tcPr>
            <w:tcW w:w="340" w:type="pct"/>
            <w:noWrap/>
            <w:hideMark/>
          </w:tcPr>
          <w:p w14:paraId="2768AB81" w14:textId="257D267A"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7588302D" w14:textId="3D1C277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32 198</w:t>
            </w:r>
          </w:p>
        </w:tc>
        <w:tc>
          <w:tcPr>
            <w:tcW w:w="389" w:type="pct"/>
            <w:noWrap/>
            <w:hideMark/>
          </w:tcPr>
          <w:p w14:paraId="04AD3705" w14:textId="0214AE9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04247A49" w14:textId="14B9F3A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0,31</w:t>
            </w:r>
          </w:p>
        </w:tc>
        <w:tc>
          <w:tcPr>
            <w:tcW w:w="417" w:type="pct"/>
            <w:noWrap/>
            <w:hideMark/>
          </w:tcPr>
          <w:p w14:paraId="0673F03B" w14:textId="0F9E68F3"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4,2</w:t>
            </w:r>
          </w:p>
        </w:tc>
      </w:tr>
      <w:tr w:rsidR="008678C6" w:rsidRPr="00EA12E7" w14:paraId="28E7EAE5" w14:textId="77777777" w:rsidTr="008678C6">
        <w:trPr>
          <w:trHeight w:val="300"/>
        </w:trPr>
        <w:tc>
          <w:tcPr>
            <w:tcW w:w="341" w:type="pct"/>
            <w:noWrap/>
            <w:hideMark/>
          </w:tcPr>
          <w:p w14:paraId="5C911B82"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45D921F8" w14:textId="131DFE4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 kogumine &amp; sorteerimine</w:t>
            </w:r>
          </w:p>
        </w:tc>
        <w:tc>
          <w:tcPr>
            <w:tcW w:w="292" w:type="pct"/>
            <w:noWrap/>
            <w:hideMark/>
          </w:tcPr>
          <w:p w14:paraId="35F8F578" w14:textId="3FD9E80A"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0,8</w:t>
            </w:r>
          </w:p>
        </w:tc>
        <w:tc>
          <w:tcPr>
            <w:tcW w:w="244" w:type="pct"/>
            <w:noWrap/>
            <w:hideMark/>
          </w:tcPr>
          <w:p w14:paraId="2AEDD649" w14:textId="28E51360"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1,2</w:t>
            </w:r>
          </w:p>
        </w:tc>
        <w:tc>
          <w:tcPr>
            <w:tcW w:w="340" w:type="pct"/>
            <w:noWrap/>
            <w:hideMark/>
          </w:tcPr>
          <w:p w14:paraId="01427242" w14:textId="61C1CFB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36 950</w:t>
            </w:r>
          </w:p>
        </w:tc>
        <w:tc>
          <w:tcPr>
            <w:tcW w:w="340" w:type="pct"/>
            <w:noWrap/>
            <w:hideMark/>
          </w:tcPr>
          <w:p w14:paraId="6D26093E" w14:textId="5B9BDA3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34 315</w:t>
            </w:r>
          </w:p>
        </w:tc>
        <w:tc>
          <w:tcPr>
            <w:tcW w:w="341" w:type="pct"/>
            <w:noWrap/>
            <w:hideMark/>
          </w:tcPr>
          <w:p w14:paraId="673D835D" w14:textId="14B25503"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31 679</w:t>
            </w:r>
          </w:p>
        </w:tc>
        <w:tc>
          <w:tcPr>
            <w:tcW w:w="389" w:type="pct"/>
            <w:noWrap/>
            <w:hideMark/>
          </w:tcPr>
          <w:p w14:paraId="3DE5651F" w14:textId="362AD92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2465240A" w14:textId="50B1469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0,38</w:t>
            </w:r>
          </w:p>
        </w:tc>
        <w:tc>
          <w:tcPr>
            <w:tcW w:w="417" w:type="pct"/>
            <w:noWrap/>
            <w:hideMark/>
          </w:tcPr>
          <w:p w14:paraId="57245BF0" w14:textId="364BC98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3,6</w:t>
            </w:r>
          </w:p>
        </w:tc>
      </w:tr>
      <w:tr w:rsidR="008678C6" w:rsidRPr="00EA12E7" w14:paraId="48FB985E" w14:textId="77777777" w:rsidTr="008678C6">
        <w:trPr>
          <w:trHeight w:val="300"/>
        </w:trPr>
        <w:tc>
          <w:tcPr>
            <w:tcW w:w="341" w:type="pct"/>
            <w:noWrap/>
            <w:hideMark/>
          </w:tcPr>
          <w:p w14:paraId="642B0B76"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62639784" w14:textId="106F166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III logistika (kogumine/vedu)</w:t>
            </w:r>
          </w:p>
        </w:tc>
        <w:tc>
          <w:tcPr>
            <w:tcW w:w="292" w:type="pct"/>
            <w:noWrap/>
            <w:hideMark/>
          </w:tcPr>
          <w:p w14:paraId="21B88124" w14:textId="5639EFD2"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0,8</w:t>
            </w:r>
          </w:p>
        </w:tc>
        <w:tc>
          <w:tcPr>
            <w:tcW w:w="244" w:type="pct"/>
            <w:noWrap/>
            <w:hideMark/>
          </w:tcPr>
          <w:p w14:paraId="3E3F01EB" w14:textId="590AABDD"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1,2</w:t>
            </w:r>
          </w:p>
        </w:tc>
        <w:tc>
          <w:tcPr>
            <w:tcW w:w="340" w:type="pct"/>
            <w:noWrap/>
            <w:hideMark/>
          </w:tcPr>
          <w:p w14:paraId="123964EC" w14:textId="30220B0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-218 150</w:t>
            </w:r>
          </w:p>
        </w:tc>
        <w:tc>
          <w:tcPr>
            <w:tcW w:w="340" w:type="pct"/>
            <w:noWrap/>
            <w:hideMark/>
          </w:tcPr>
          <w:p w14:paraId="3EE16F53" w14:textId="29245632"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6978A8D4" w14:textId="3EAC56E2"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-237 675</w:t>
            </w:r>
          </w:p>
        </w:tc>
        <w:tc>
          <w:tcPr>
            <w:tcW w:w="389" w:type="pct"/>
            <w:noWrap/>
            <w:hideMark/>
          </w:tcPr>
          <w:p w14:paraId="54F1B983" w14:textId="06B35E1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5866B107" w14:textId="547BED6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0,21</w:t>
            </w:r>
          </w:p>
        </w:tc>
        <w:tc>
          <w:tcPr>
            <w:tcW w:w="417" w:type="pct"/>
            <w:noWrap/>
            <w:hideMark/>
          </w:tcPr>
          <w:p w14:paraId="76A23C98" w14:textId="7EB8D86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-3,7</w:t>
            </w:r>
          </w:p>
        </w:tc>
      </w:tr>
      <w:tr w:rsidR="008678C6" w:rsidRPr="00EA12E7" w14:paraId="1FFC444B" w14:textId="77777777" w:rsidTr="008678C6">
        <w:trPr>
          <w:trHeight w:val="300"/>
        </w:trPr>
        <w:tc>
          <w:tcPr>
            <w:tcW w:w="341" w:type="pct"/>
            <w:noWrap/>
            <w:hideMark/>
          </w:tcPr>
          <w:p w14:paraId="77111F71"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66F03553" w14:textId="6759D04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III pesu (vesi; elekter/aur; pesuvahend; tööjõud; hooldus)</w:t>
            </w:r>
          </w:p>
        </w:tc>
        <w:tc>
          <w:tcPr>
            <w:tcW w:w="292" w:type="pct"/>
            <w:noWrap/>
            <w:hideMark/>
          </w:tcPr>
          <w:p w14:paraId="283A93FC" w14:textId="312B19A6"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0,8</w:t>
            </w:r>
          </w:p>
        </w:tc>
        <w:tc>
          <w:tcPr>
            <w:tcW w:w="244" w:type="pct"/>
            <w:noWrap/>
            <w:hideMark/>
          </w:tcPr>
          <w:p w14:paraId="6A4BF46D" w14:textId="20F9FACB"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1,2</w:t>
            </w:r>
          </w:p>
        </w:tc>
        <w:tc>
          <w:tcPr>
            <w:tcW w:w="340" w:type="pct"/>
            <w:noWrap/>
            <w:hideMark/>
          </w:tcPr>
          <w:p w14:paraId="7EECD72E" w14:textId="5AB4CC6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-219 033</w:t>
            </w:r>
          </w:p>
        </w:tc>
        <w:tc>
          <w:tcPr>
            <w:tcW w:w="340" w:type="pct"/>
            <w:noWrap/>
            <w:hideMark/>
          </w:tcPr>
          <w:p w14:paraId="5F07FAE4" w14:textId="18D5A723"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5030EE58" w14:textId="6FF7ADD0"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-236 792</w:t>
            </w:r>
          </w:p>
        </w:tc>
        <w:tc>
          <w:tcPr>
            <w:tcW w:w="389" w:type="pct"/>
            <w:noWrap/>
            <w:hideMark/>
          </w:tcPr>
          <w:p w14:paraId="003486EE" w14:textId="6079DCEE"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B</w:t>
            </w:r>
          </w:p>
        </w:tc>
        <w:tc>
          <w:tcPr>
            <w:tcW w:w="302" w:type="pct"/>
            <w:noWrap/>
            <w:hideMark/>
          </w:tcPr>
          <w:p w14:paraId="7A290D95" w14:textId="0D5849E5"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0,19</w:t>
            </w:r>
          </w:p>
        </w:tc>
        <w:tc>
          <w:tcPr>
            <w:tcW w:w="417" w:type="pct"/>
            <w:noWrap/>
            <w:hideMark/>
          </w:tcPr>
          <w:p w14:paraId="13FB0505" w14:textId="14C15A0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-4,1</w:t>
            </w:r>
          </w:p>
        </w:tc>
      </w:tr>
      <w:tr w:rsidR="008678C6" w:rsidRPr="00EA12E7" w14:paraId="41211596" w14:textId="77777777" w:rsidTr="008678C6">
        <w:trPr>
          <w:trHeight w:val="300"/>
        </w:trPr>
        <w:tc>
          <w:tcPr>
            <w:tcW w:w="341" w:type="pct"/>
            <w:noWrap/>
            <w:hideMark/>
          </w:tcPr>
          <w:p w14:paraId="2BD4C2EB" w14:textId="77777777" w:rsidR="008678C6" w:rsidRPr="00EA12E7" w:rsidRDefault="008678C6" w:rsidP="000D4BA4">
            <w:pPr>
              <w:jc w:val="right"/>
              <w:rPr>
                <w:rFonts w:eastAsia="Times New Roman" w:cs="Times New Roman"/>
                <w:color w:val="000000"/>
                <w:kern w:val="0"/>
                <w:sz w:val="16"/>
                <w:szCs w:val="16"/>
                <w:lang w:eastAsia="et-EE"/>
                <w14:ligatures w14:val="none"/>
              </w:rPr>
            </w:pPr>
          </w:p>
        </w:tc>
        <w:tc>
          <w:tcPr>
            <w:tcW w:w="1994" w:type="pct"/>
            <w:noWrap/>
            <w:hideMark/>
          </w:tcPr>
          <w:p w14:paraId="1C468AC3" w14:textId="2EADAEDF"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III pakendite asenduskulu eluea lõpus</w:t>
            </w:r>
          </w:p>
        </w:tc>
        <w:tc>
          <w:tcPr>
            <w:tcW w:w="292" w:type="pct"/>
            <w:noWrap/>
            <w:hideMark/>
          </w:tcPr>
          <w:p w14:paraId="59462910" w14:textId="0A7D73A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0,6</w:t>
            </w:r>
          </w:p>
        </w:tc>
        <w:tc>
          <w:tcPr>
            <w:tcW w:w="244" w:type="pct"/>
            <w:noWrap/>
            <w:hideMark/>
          </w:tcPr>
          <w:p w14:paraId="73A23CED" w14:textId="3E525A5B" w:rsidR="008678C6" w:rsidRPr="008678C6" w:rsidRDefault="008678C6" w:rsidP="000D4BA4">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1,4</w:t>
            </w:r>
          </w:p>
        </w:tc>
        <w:tc>
          <w:tcPr>
            <w:tcW w:w="340" w:type="pct"/>
            <w:noWrap/>
            <w:hideMark/>
          </w:tcPr>
          <w:p w14:paraId="32084270" w14:textId="437C1D49"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-209 284</w:t>
            </w:r>
          </w:p>
        </w:tc>
        <w:tc>
          <w:tcPr>
            <w:tcW w:w="340" w:type="pct"/>
            <w:noWrap/>
            <w:hideMark/>
          </w:tcPr>
          <w:p w14:paraId="01E9A3B9" w14:textId="3DC46901"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7B3AAC4C" w14:textId="356383BC"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-246 541</w:t>
            </w:r>
          </w:p>
        </w:tc>
        <w:tc>
          <w:tcPr>
            <w:tcW w:w="389" w:type="pct"/>
            <w:noWrap/>
            <w:hideMark/>
          </w:tcPr>
          <w:p w14:paraId="14F0D361" w14:textId="2EB3650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C</w:t>
            </w:r>
          </w:p>
        </w:tc>
        <w:tc>
          <w:tcPr>
            <w:tcW w:w="302" w:type="pct"/>
            <w:noWrap/>
            <w:hideMark/>
          </w:tcPr>
          <w:p w14:paraId="75E9ECB4" w14:textId="74BD7308"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0,20</w:t>
            </w:r>
          </w:p>
        </w:tc>
        <w:tc>
          <w:tcPr>
            <w:tcW w:w="417" w:type="pct"/>
            <w:noWrap/>
            <w:hideMark/>
          </w:tcPr>
          <w:p w14:paraId="2A2AA5A3" w14:textId="5DD69CE7" w:rsidR="008678C6" w:rsidRPr="008678C6" w:rsidRDefault="008678C6" w:rsidP="000D4BA4">
            <w:pPr>
              <w:jc w:val="left"/>
              <w:rPr>
                <w:rFonts w:eastAsia="Times New Roman" w:cs="Times New Roman"/>
                <w:color w:val="000000"/>
                <w:kern w:val="0"/>
                <w:sz w:val="16"/>
                <w:szCs w:val="16"/>
                <w:lang w:eastAsia="et-EE"/>
                <w14:ligatures w14:val="none"/>
              </w:rPr>
            </w:pPr>
            <w:r w:rsidRPr="008678C6">
              <w:rPr>
                <w:sz w:val="16"/>
                <w:szCs w:val="16"/>
              </w:rPr>
              <w:t>-3,9</w:t>
            </w:r>
          </w:p>
        </w:tc>
      </w:tr>
      <w:tr w:rsidR="008678C6" w:rsidRPr="00EA12E7" w14:paraId="779FB995" w14:textId="77777777" w:rsidTr="008678C6">
        <w:trPr>
          <w:trHeight w:val="300"/>
        </w:trPr>
        <w:tc>
          <w:tcPr>
            <w:tcW w:w="341" w:type="pct"/>
            <w:noWrap/>
            <w:hideMark/>
          </w:tcPr>
          <w:p w14:paraId="2D45FE40" w14:textId="77777777" w:rsidR="008678C6" w:rsidRPr="00EA12E7" w:rsidRDefault="008678C6" w:rsidP="008678C6">
            <w:pPr>
              <w:jc w:val="right"/>
              <w:rPr>
                <w:rFonts w:eastAsia="Times New Roman" w:cs="Times New Roman"/>
                <w:color w:val="000000"/>
                <w:kern w:val="0"/>
                <w:sz w:val="16"/>
                <w:szCs w:val="16"/>
                <w:lang w:eastAsia="et-EE"/>
                <w14:ligatures w14:val="none"/>
              </w:rPr>
            </w:pPr>
          </w:p>
        </w:tc>
        <w:tc>
          <w:tcPr>
            <w:tcW w:w="1994" w:type="pct"/>
            <w:noWrap/>
            <w:hideMark/>
          </w:tcPr>
          <w:p w14:paraId="7137A029" w14:textId="09937D18"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III kadu/purunemine asendus</w:t>
            </w:r>
          </w:p>
        </w:tc>
        <w:tc>
          <w:tcPr>
            <w:tcW w:w="292" w:type="pct"/>
            <w:noWrap/>
            <w:hideMark/>
          </w:tcPr>
          <w:p w14:paraId="7E082699" w14:textId="0410CB5A"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0,8</w:t>
            </w:r>
          </w:p>
        </w:tc>
        <w:tc>
          <w:tcPr>
            <w:tcW w:w="244" w:type="pct"/>
            <w:noWrap/>
            <w:hideMark/>
          </w:tcPr>
          <w:p w14:paraId="19BDB664" w14:textId="62D67BE1"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1,5</w:t>
            </w:r>
          </w:p>
        </w:tc>
        <w:tc>
          <w:tcPr>
            <w:tcW w:w="340" w:type="pct"/>
            <w:noWrap/>
            <w:hideMark/>
          </w:tcPr>
          <w:p w14:paraId="1E0AE915" w14:textId="1EC328AE"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-225 616</w:t>
            </w:r>
          </w:p>
        </w:tc>
        <w:tc>
          <w:tcPr>
            <w:tcW w:w="340" w:type="pct"/>
            <w:noWrap/>
            <w:hideMark/>
          </w:tcPr>
          <w:p w14:paraId="239C7A6F" w14:textId="4DDC422D"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4511C9D1" w14:textId="59296D8D"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-233 653</w:t>
            </w:r>
          </w:p>
        </w:tc>
        <w:tc>
          <w:tcPr>
            <w:tcW w:w="389" w:type="pct"/>
            <w:noWrap/>
            <w:hideMark/>
          </w:tcPr>
          <w:p w14:paraId="56783A6E" w14:textId="70210803"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D</w:t>
            </w:r>
          </w:p>
        </w:tc>
        <w:tc>
          <w:tcPr>
            <w:tcW w:w="302" w:type="pct"/>
            <w:noWrap/>
            <w:hideMark/>
          </w:tcPr>
          <w:p w14:paraId="5D667031" w14:textId="4E7D50B0"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0,05</w:t>
            </w:r>
          </w:p>
        </w:tc>
        <w:tc>
          <w:tcPr>
            <w:tcW w:w="417" w:type="pct"/>
            <w:noWrap/>
            <w:hideMark/>
          </w:tcPr>
          <w:p w14:paraId="3DEAE6A9" w14:textId="20EF3679"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-18,9</w:t>
            </w:r>
          </w:p>
        </w:tc>
      </w:tr>
      <w:tr w:rsidR="008678C6" w:rsidRPr="00EA12E7" w14:paraId="45701A0B" w14:textId="77777777" w:rsidTr="008678C6">
        <w:trPr>
          <w:trHeight w:val="300"/>
        </w:trPr>
        <w:tc>
          <w:tcPr>
            <w:tcW w:w="341" w:type="pct"/>
            <w:noWrap/>
            <w:hideMark/>
          </w:tcPr>
          <w:p w14:paraId="459F8150" w14:textId="77777777" w:rsidR="008678C6" w:rsidRPr="00EA12E7" w:rsidRDefault="008678C6" w:rsidP="008678C6">
            <w:pPr>
              <w:jc w:val="right"/>
              <w:rPr>
                <w:rFonts w:eastAsia="Times New Roman" w:cs="Times New Roman"/>
                <w:color w:val="000000"/>
                <w:kern w:val="0"/>
                <w:sz w:val="16"/>
                <w:szCs w:val="16"/>
                <w:lang w:eastAsia="et-EE"/>
                <w14:ligatures w14:val="none"/>
              </w:rPr>
            </w:pPr>
          </w:p>
        </w:tc>
        <w:tc>
          <w:tcPr>
            <w:tcW w:w="1994" w:type="pct"/>
            <w:noWrap/>
            <w:hideMark/>
          </w:tcPr>
          <w:p w14:paraId="1330C164" w14:textId="49904B5B"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III muud kulud (turundus, koolitus, varude haldus)</w:t>
            </w:r>
          </w:p>
        </w:tc>
        <w:tc>
          <w:tcPr>
            <w:tcW w:w="292" w:type="pct"/>
            <w:noWrap/>
            <w:hideMark/>
          </w:tcPr>
          <w:p w14:paraId="5077DF4F" w14:textId="17B8C5DC"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0,6</w:t>
            </w:r>
          </w:p>
        </w:tc>
        <w:tc>
          <w:tcPr>
            <w:tcW w:w="244" w:type="pct"/>
            <w:noWrap/>
            <w:hideMark/>
          </w:tcPr>
          <w:p w14:paraId="21BECC91" w14:textId="478D3BBC"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1,4</w:t>
            </w:r>
          </w:p>
        </w:tc>
        <w:tc>
          <w:tcPr>
            <w:tcW w:w="340" w:type="pct"/>
            <w:noWrap/>
            <w:hideMark/>
          </w:tcPr>
          <w:p w14:paraId="2FBA9B9C" w14:textId="067DBAD5"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-218 181</w:t>
            </w:r>
          </w:p>
        </w:tc>
        <w:tc>
          <w:tcPr>
            <w:tcW w:w="340" w:type="pct"/>
            <w:noWrap/>
            <w:hideMark/>
          </w:tcPr>
          <w:p w14:paraId="24F08DB5" w14:textId="49E5FE7B"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3B793105" w14:textId="7034063C"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-237 644</w:t>
            </w:r>
          </w:p>
        </w:tc>
        <w:tc>
          <w:tcPr>
            <w:tcW w:w="389" w:type="pct"/>
            <w:noWrap/>
            <w:hideMark/>
          </w:tcPr>
          <w:p w14:paraId="335A659C" w14:textId="2ED446E4"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C</w:t>
            </w:r>
          </w:p>
        </w:tc>
        <w:tc>
          <w:tcPr>
            <w:tcW w:w="302" w:type="pct"/>
            <w:noWrap/>
            <w:hideMark/>
          </w:tcPr>
          <w:p w14:paraId="2DF8CE84" w14:textId="2BCD0010"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0,11</w:t>
            </w:r>
          </w:p>
        </w:tc>
        <w:tc>
          <w:tcPr>
            <w:tcW w:w="417" w:type="pct"/>
            <w:noWrap/>
            <w:hideMark/>
          </w:tcPr>
          <w:p w14:paraId="3D176450" w14:textId="6D4FBA3F"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-8,4</w:t>
            </w:r>
          </w:p>
        </w:tc>
      </w:tr>
      <w:tr w:rsidR="008678C6" w:rsidRPr="00EA12E7" w14:paraId="1913035B" w14:textId="77777777" w:rsidTr="008678C6">
        <w:trPr>
          <w:trHeight w:val="300"/>
        </w:trPr>
        <w:tc>
          <w:tcPr>
            <w:tcW w:w="341" w:type="pct"/>
            <w:noWrap/>
            <w:hideMark/>
          </w:tcPr>
          <w:p w14:paraId="78A3EEAF" w14:textId="77777777" w:rsidR="008678C6" w:rsidRPr="00EA12E7" w:rsidRDefault="008678C6" w:rsidP="008678C6">
            <w:pPr>
              <w:jc w:val="right"/>
              <w:rPr>
                <w:rFonts w:eastAsia="Times New Roman" w:cs="Times New Roman"/>
                <w:color w:val="000000"/>
                <w:kern w:val="0"/>
                <w:sz w:val="16"/>
                <w:szCs w:val="16"/>
                <w:lang w:eastAsia="et-EE"/>
                <w14:ligatures w14:val="none"/>
              </w:rPr>
            </w:pPr>
          </w:p>
        </w:tc>
        <w:tc>
          <w:tcPr>
            <w:tcW w:w="1994" w:type="pct"/>
            <w:noWrap/>
            <w:hideMark/>
          </w:tcPr>
          <w:p w14:paraId="4408B5D9" w14:textId="3AF9F159"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III Alginvesteering tsentraalne liin + IT - ühekordsed kulud (CAPEX)</w:t>
            </w:r>
          </w:p>
        </w:tc>
        <w:tc>
          <w:tcPr>
            <w:tcW w:w="292" w:type="pct"/>
            <w:noWrap/>
            <w:hideMark/>
          </w:tcPr>
          <w:p w14:paraId="1D350C7E" w14:textId="78D9CA10"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0,6</w:t>
            </w:r>
          </w:p>
        </w:tc>
        <w:tc>
          <w:tcPr>
            <w:tcW w:w="244" w:type="pct"/>
            <w:noWrap/>
            <w:hideMark/>
          </w:tcPr>
          <w:p w14:paraId="172CFC44" w14:textId="18A698C3"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1,4</w:t>
            </w:r>
          </w:p>
        </w:tc>
        <w:tc>
          <w:tcPr>
            <w:tcW w:w="340" w:type="pct"/>
            <w:noWrap/>
            <w:hideMark/>
          </w:tcPr>
          <w:p w14:paraId="33D682E9" w14:textId="74CE18AC"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-147 912</w:t>
            </w:r>
          </w:p>
        </w:tc>
        <w:tc>
          <w:tcPr>
            <w:tcW w:w="340" w:type="pct"/>
            <w:noWrap/>
            <w:hideMark/>
          </w:tcPr>
          <w:p w14:paraId="4769060D" w14:textId="7B6702EE"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-227 912</w:t>
            </w:r>
          </w:p>
        </w:tc>
        <w:tc>
          <w:tcPr>
            <w:tcW w:w="341" w:type="pct"/>
            <w:noWrap/>
            <w:hideMark/>
          </w:tcPr>
          <w:p w14:paraId="2319FFA9" w14:textId="23454143"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-307 912</w:t>
            </w:r>
          </w:p>
        </w:tc>
        <w:tc>
          <w:tcPr>
            <w:tcW w:w="389" w:type="pct"/>
            <w:noWrap/>
            <w:hideMark/>
          </w:tcPr>
          <w:p w14:paraId="3771AF31" w14:textId="2826C411"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C</w:t>
            </w:r>
          </w:p>
        </w:tc>
        <w:tc>
          <w:tcPr>
            <w:tcW w:w="302" w:type="pct"/>
            <w:noWrap/>
            <w:hideMark/>
          </w:tcPr>
          <w:p w14:paraId="1F5AB881" w14:textId="190A4758"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0,88</w:t>
            </w:r>
          </w:p>
        </w:tc>
        <w:tc>
          <w:tcPr>
            <w:tcW w:w="417" w:type="pct"/>
            <w:noWrap/>
            <w:hideMark/>
          </w:tcPr>
          <w:p w14:paraId="7664EE33" w14:textId="06717D89" w:rsidR="008678C6" w:rsidRPr="008678C6" w:rsidRDefault="008678C6" w:rsidP="008678C6">
            <w:pPr>
              <w:jc w:val="left"/>
              <w:rPr>
                <w:rFonts w:eastAsia="Times New Roman" w:cs="Times New Roman"/>
                <w:color w:val="000000"/>
                <w:kern w:val="0"/>
                <w:sz w:val="16"/>
                <w:szCs w:val="16"/>
                <w:lang w:eastAsia="et-EE"/>
                <w14:ligatures w14:val="none"/>
              </w:rPr>
            </w:pPr>
            <w:r w:rsidRPr="008678C6">
              <w:rPr>
                <w:sz w:val="16"/>
                <w:szCs w:val="16"/>
              </w:rPr>
              <w:t>-0,1</w:t>
            </w:r>
          </w:p>
        </w:tc>
      </w:tr>
      <w:tr w:rsidR="008678C6" w:rsidRPr="00EA12E7" w14:paraId="3224624E" w14:textId="77777777" w:rsidTr="008678C6">
        <w:trPr>
          <w:trHeight w:val="300"/>
        </w:trPr>
        <w:tc>
          <w:tcPr>
            <w:tcW w:w="341" w:type="pct"/>
            <w:noWrap/>
            <w:hideMark/>
          </w:tcPr>
          <w:p w14:paraId="09747209" w14:textId="77777777" w:rsidR="008678C6" w:rsidRPr="00EA12E7" w:rsidRDefault="008678C6" w:rsidP="008678C6">
            <w:pPr>
              <w:jc w:val="right"/>
              <w:rPr>
                <w:rFonts w:eastAsia="Times New Roman" w:cs="Times New Roman"/>
                <w:color w:val="000000"/>
                <w:kern w:val="0"/>
                <w:sz w:val="16"/>
                <w:szCs w:val="16"/>
                <w:lang w:eastAsia="et-EE"/>
                <w14:ligatures w14:val="none"/>
              </w:rPr>
            </w:pPr>
          </w:p>
        </w:tc>
        <w:tc>
          <w:tcPr>
            <w:tcW w:w="1994" w:type="pct"/>
            <w:noWrap/>
            <w:hideMark/>
          </w:tcPr>
          <w:p w14:paraId="53476AAE" w14:textId="7F07254C"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IV teenustasu (</w:t>
            </w:r>
            <w:proofErr w:type="spellStart"/>
            <w:r w:rsidRPr="008678C6">
              <w:rPr>
                <w:rFonts w:eastAsia="Times New Roman" w:cs="Times New Roman"/>
                <w:color w:val="000000"/>
                <w:kern w:val="0"/>
                <w:sz w:val="16"/>
                <w:szCs w:val="16"/>
                <w:lang w:eastAsia="et-EE"/>
                <w14:ligatures w14:val="none"/>
              </w:rPr>
              <w:t>eur</w:t>
            </w:r>
            <w:proofErr w:type="spellEnd"/>
            <w:r w:rsidRPr="008678C6">
              <w:rPr>
                <w:rFonts w:eastAsia="Times New Roman" w:cs="Times New Roman"/>
                <w:color w:val="000000"/>
                <w:kern w:val="0"/>
                <w:sz w:val="16"/>
                <w:szCs w:val="16"/>
                <w:lang w:eastAsia="et-EE"/>
                <w14:ligatures w14:val="none"/>
              </w:rPr>
              <w:t xml:space="preserve">/serveering * </w:t>
            </w:r>
            <w:proofErr w:type="spellStart"/>
            <w:r w:rsidRPr="008678C6">
              <w:rPr>
                <w:rFonts w:eastAsia="Times New Roman" w:cs="Times New Roman"/>
                <w:color w:val="000000"/>
                <w:kern w:val="0"/>
                <w:sz w:val="16"/>
                <w:szCs w:val="16"/>
                <w:lang w:eastAsia="et-EE"/>
                <w14:ligatures w14:val="none"/>
              </w:rPr>
              <w:t>Qy</w:t>
            </w:r>
            <w:proofErr w:type="spellEnd"/>
            <w:r w:rsidRPr="008678C6">
              <w:rPr>
                <w:rFonts w:eastAsia="Times New Roman" w:cs="Times New Roman"/>
                <w:color w:val="000000"/>
                <w:kern w:val="0"/>
                <w:sz w:val="16"/>
                <w:szCs w:val="16"/>
                <w:lang w:eastAsia="et-EE"/>
                <w14:ligatures w14:val="none"/>
              </w:rPr>
              <w:t>)</w:t>
            </w:r>
          </w:p>
        </w:tc>
        <w:tc>
          <w:tcPr>
            <w:tcW w:w="292" w:type="pct"/>
            <w:noWrap/>
            <w:hideMark/>
          </w:tcPr>
          <w:p w14:paraId="75D483E1" w14:textId="30FFF1CB"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0,8</w:t>
            </w:r>
          </w:p>
        </w:tc>
        <w:tc>
          <w:tcPr>
            <w:tcW w:w="244" w:type="pct"/>
            <w:noWrap/>
            <w:hideMark/>
          </w:tcPr>
          <w:p w14:paraId="74D43370" w14:textId="1ED5E5E3"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1,2</w:t>
            </w:r>
          </w:p>
        </w:tc>
        <w:tc>
          <w:tcPr>
            <w:tcW w:w="340" w:type="pct"/>
            <w:noWrap/>
            <w:hideMark/>
          </w:tcPr>
          <w:p w14:paraId="0BC654B0" w14:textId="68EFEDB5"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-389189</w:t>
            </w:r>
          </w:p>
        </w:tc>
        <w:tc>
          <w:tcPr>
            <w:tcW w:w="340" w:type="pct"/>
            <w:noWrap/>
            <w:hideMark/>
          </w:tcPr>
          <w:p w14:paraId="52ABA74C" w14:textId="43E1A165"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-522995</w:t>
            </w:r>
          </w:p>
        </w:tc>
        <w:tc>
          <w:tcPr>
            <w:tcW w:w="341" w:type="pct"/>
            <w:noWrap/>
            <w:hideMark/>
          </w:tcPr>
          <w:p w14:paraId="1E3DF3C4" w14:textId="1BAC7D17"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-656802</w:t>
            </w:r>
          </w:p>
        </w:tc>
        <w:tc>
          <w:tcPr>
            <w:tcW w:w="389" w:type="pct"/>
            <w:noWrap/>
            <w:hideMark/>
          </w:tcPr>
          <w:p w14:paraId="49BD61EC" w14:textId="2A6D7C7E"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B</w:t>
            </w:r>
          </w:p>
        </w:tc>
        <w:tc>
          <w:tcPr>
            <w:tcW w:w="302" w:type="pct"/>
            <w:noWrap/>
            <w:hideMark/>
          </w:tcPr>
          <w:p w14:paraId="01626BA9" w14:textId="52F58EF5"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1,3</w:t>
            </w:r>
          </w:p>
        </w:tc>
        <w:tc>
          <w:tcPr>
            <w:tcW w:w="417" w:type="pct"/>
            <w:noWrap/>
            <w:hideMark/>
          </w:tcPr>
          <w:p w14:paraId="37C8EC77" w14:textId="381C8807" w:rsidR="008678C6" w:rsidRPr="008678C6" w:rsidRDefault="008678C6" w:rsidP="008678C6">
            <w:pPr>
              <w:jc w:val="left"/>
              <w:rPr>
                <w:rFonts w:eastAsia="Times New Roman" w:cs="Times New Roman"/>
                <w:color w:val="000000"/>
                <w:kern w:val="0"/>
                <w:sz w:val="16"/>
                <w:szCs w:val="16"/>
                <w:lang w:eastAsia="et-EE"/>
                <w14:ligatures w14:val="none"/>
              </w:rPr>
            </w:pPr>
            <w:r w:rsidRPr="008678C6">
              <w:rPr>
                <w:rFonts w:eastAsia="Times New Roman" w:cs="Times New Roman"/>
                <w:color w:val="000000"/>
                <w:kern w:val="0"/>
                <w:sz w:val="16"/>
                <w:szCs w:val="16"/>
                <w:lang w:eastAsia="et-EE"/>
                <w14:ligatures w14:val="none"/>
              </w:rPr>
              <w:t>0,75</w:t>
            </w:r>
          </w:p>
        </w:tc>
      </w:tr>
    </w:tbl>
    <w:p w14:paraId="47498A70" w14:textId="77777777" w:rsidR="000F51CF" w:rsidRDefault="006E6C04" w:rsidP="006E6C04">
      <w:pPr>
        <w:pStyle w:val="Allikas"/>
      </w:pPr>
      <w:r>
        <w:t>Allikas: autori arvutused</w:t>
      </w:r>
      <w:bookmarkEnd w:id="15"/>
    </w:p>
    <w:sectPr w:rsidR="000F51CF" w:rsidSect="006E6C04">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17BF" w14:textId="77777777" w:rsidR="00216328" w:rsidRDefault="00216328" w:rsidP="00216328">
      <w:pPr>
        <w:spacing w:after="0" w:line="240" w:lineRule="auto"/>
      </w:pPr>
      <w:r>
        <w:separator/>
      </w:r>
    </w:p>
  </w:endnote>
  <w:endnote w:type="continuationSeparator" w:id="0">
    <w:p w14:paraId="5945A8FF" w14:textId="77777777" w:rsidR="00216328" w:rsidRDefault="00216328" w:rsidP="0021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61743"/>
      <w:docPartObj>
        <w:docPartGallery w:val="Page Numbers (Bottom of Page)"/>
        <w:docPartUnique/>
      </w:docPartObj>
    </w:sdtPr>
    <w:sdtEndPr/>
    <w:sdtContent>
      <w:p w14:paraId="20EE646E" w14:textId="10FA51A4" w:rsidR="00F44A76" w:rsidRDefault="00F44A76">
        <w:pPr>
          <w:pStyle w:val="Jalus"/>
          <w:jc w:val="right"/>
        </w:pPr>
        <w:r>
          <w:fldChar w:fldCharType="begin"/>
        </w:r>
        <w:r>
          <w:instrText>PAGE   \* MERGEFORMAT</w:instrText>
        </w:r>
        <w:r>
          <w:fldChar w:fldCharType="separate"/>
        </w:r>
        <w:r>
          <w:t>2</w:t>
        </w:r>
        <w:r>
          <w:fldChar w:fldCharType="end"/>
        </w:r>
      </w:p>
    </w:sdtContent>
  </w:sdt>
  <w:p w14:paraId="32DBAD43" w14:textId="77777777" w:rsidR="00F44A76" w:rsidRDefault="00F44A7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12921"/>
      <w:docPartObj>
        <w:docPartGallery w:val="Page Numbers (Bottom of Page)"/>
        <w:docPartUnique/>
      </w:docPartObj>
    </w:sdtPr>
    <w:sdtEndPr/>
    <w:sdtContent>
      <w:p w14:paraId="395EAD86" w14:textId="4F693850" w:rsidR="00F44A76" w:rsidRDefault="00F44A76">
        <w:pPr>
          <w:pStyle w:val="Jalus"/>
          <w:jc w:val="right"/>
        </w:pPr>
        <w:r>
          <w:fldChar w:fldCharType="begin"/>
        </w:r>
        <w:r>
          <w:instrText>PAGE   \* MERGEFORMAT</w:instrText>
        </w:r>
        <w:r>
          <w:fldChar w:fldCharType="separate"/>
        </w:r>
        <w:r>
          <w:t>2</w:t>
        </w:r>
        <w:r>
          <w:fldChar w:fldCharType="end"/>
        </w:r>
      </w:p>
    </w:sdtContent>
  </w:sdt>
  <w:p w14:paraId="7A44B848" w14:textId="77777777" w:rsidR="00F44A76" w:rsidRDefault="00F44A7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779C" w14:textId="77777777" w:rsidR="00216328" w:rsidRDefault="00216328" w:rsidP="00216328">
      <w:pPr>
        <w:spacing w:after="0" w:line="240" w:lineRule="auto"/>
      </w:pPr>
      <w:r>
        <w:separator/>
      </w:r>
    </w:p>
  </w:footnote>
  <w:footnote w:type="continuationSeparator" w:id="0">
    <w:p w14:paraId="0FCEF639" w14:textId="77777777" w:rsidR="00216328" w:rsidRDefault="00216328" w:rsidP="00216328">
      <w:pPr>
        <w:spacing w:after="0" w:line="240" w:lineRule="auto"/>
      </w:pPr>
      <w:r>
        <w:continuationSeparator/>
      </w:r>
    </w:p>
  </w:footnote>
  <w:footnote w:id="1">
    <w:p w14:paraId="3A5466EB" w14:textId="77777777" w:rsidR="00216328" w:rsidRDefault="00216328" w:rsidP="00216328">
      <w:pPr>
        <w:pStyle w:val="Allmrkusetekst"/>
        <w:jc w:val="left"/>
      </w:pPr>
      <w:r>
        <w:rPr>
          <w:rStyle w:val="Allmrkuseviide"/>
        </w:rPr>
        <w:footnoteRef/>
      </w:r>
      <w:r>
        <w:t xml:space="preserve"> </w:t>
      </w:r>
      <w:r w:rsidRPr="00216328">
        <w:rPr>
          <w:sz w:val="16"/>
          <w:szCs w:val="16"/>
        </w:rPr>
        <w:t>Tarbijahinnaindeksi (THI) prognoos 2026–2030. https://www.fin.ee/riigi-rahandus-ja-maksud/fiskaalpoliitika-ja-majandus/rahandusministeeriumi-majandusprognoos</w:t>
      </w:r>
    </w:p>
  </w:footnote>
  <w:footnote w:id="2">
    <w:p w14:paraId="52FD2341" w14:textId="77777777" w:rsidR="007E6AF6" w:rsidRPr="00216328" w:rsidRDefault="007E6AF6" w:rsidP="007E6AF6">
      <w:pPr>
        <w:pStyle w:val="Allmrkusetekst"/>
        <w:rPr>
          <w:sz w:val="16"/>
          <w:szCs w:val="16"/>
        </w:rPr>
      </w:pPr>
      <w:r w:rsidRPr="00216328">
        <w:rPr>
          <w:rStyle w:val="Allmrkuseviide"/>
          <w:sz w:val="16"/>
          <w:szCs w:val="16"/>
        </w:rPr>
        <w:footnoteRef/>
      </w:r>
      <w:r w:rsidRPr="00216328">
        <w:rPr>
          <w:sz w:val="16"/>
          <w:szCs w:val="16"/>
        </w:rPr>
        <w:t xml:space="preserve"> </w:t>
      </w:r>
      <w:proofErr w:type="spellStart"/>
      <w:r w:rsidRPr="00216328">
        <w:rPr>
          <w:sz w:val="16"/>
          <w:szCs w:val="16"/>
        </w:rPr>
        <w:t>Making</w:t>
      </w:r>
      <w:proofErr w:type="spellEnd"/>
      <w:r w:rsidRPr="00216328">
        <w:rPr>
          <w:sz w:val="16"/>
          <w:szCs w:val="16"/>
        </w:rPr>
        <w:t xml:space="preserve"> </w:t>
      </w:r>
      <w:proofErr w:type="spellStart"/>
      <w:r w:rsidRPr="00216328">
        <w:rPr>
          <w:sz w:val="16"/>
          <w:szCs w:val="16"/>
        </w:rPr>
        <w:t>the</w:t>
      </w:r>
      <w:proofErr w:type="spellEnd"/>
      <w:r w:rsidRPr="00216328">
        <w:rPr>
          <w:sz w:val="16"/>
          <w:szCs w:val="16"/>
        </w:rPr>
        <w:t xml:space="preserve"> </w:t>
      </w:r>
      <w:proofErr w:type="spellStart"/>
      <w:r w:rsidRPr="00216328">
        <w:rPr>
          <w:sz w:val="16"/>
          <w:szCs w:val="16"/>
        </w:rPr>
        <w:t>business</w:t>
      </w:r>
      <w:proofErr w:type="spellEnd"/>
      <w:r w:rsidRPr="00216328">
        <w:rPr>
          <w:sz w:val="16"/>
          <w:szCs w:val="16"/>
        </w:rPr>
        <w:t xml:space="preserve"> </w:t>
      </w:r>
      <w:proofErr w:type="spellStart"/>
      <w:r w:rsidRPr="00216328">
        <w:rPr>
          <w:sz w:val="16"/>
          <w:szCs w:val="16"/>
        </w:rPr>
        <w:t>case</w:t>
      </w:r>
      <w:proofErr w:type="spellEnd"/>
      <w:r w:rsidRPr="00216328">
        <w:rPr>
          <w:sz w:val="16"/>
          <w:szCs w:val="16"/>
        </w:rPr>
        <w:t xml:space="preserve"> </w:t>
      </w:r>
      <w:proofErr w:type="spellStart"/>
      <w:r w:rsidRPr="00216328">
        <w:rPr>
          <w:sz w:val="16"/>
          <w:szCs w:val="16"/>
        </w:rPr>
        <w:t>for</w:t>
      </w:r>
      <w:proofErr w:type="spellEnd"/>
      <w:r w:rsidRPr="00216328">
        <w:rPr>
          <w:sz w:val="16"/>
          <w:szCs w:val="16"/>
        </w:rPr>
        <w:t xml:space="preserve"> </w:t>
      </w:r>
      <w:proofErr w:type="spellStart"/>
      <w:r w:rsidRPr="00216328">
        <w:rPr>
          <w:sz w:val="16"/>
          <w:szCs w:val="16"/>
        </w:rPr>
        <w:t>Packaging</w:t>
      </w:r>
      <w:proofErr w:type="spellEnd"/>
      <w:r w:rsidRPr="00216328">
        <w:rPr>
          <w:sz w:val="16"/>
          <w:szCs w:val="16"/>
        </w:rPr>
        <w:t xml:space="preserve"> </w:t>
      </w:r>
      <w:proofErr w:type="spellStart"/>
      <w:r w:rsidRPr="00216328">
        <w:rPr>
          <w:sz w:val="16"/>
          <w:szCs w:val="16"/>
        </w:rPr>
        <w:t>reuse</w:t>
      </w:r>
      <w:proofErr w:type="spellEnd"/>
      <w:r w:rsidRPr="00216328">
        <w:rPr>
          <w:sz w:val="16"/>
          <w:szCs w:val="16"/>
        </w:rPr>
        <w:t xml:space="preserve"> </w:t>
      </w:r>
      <w:proofErr w:type="spellStart"/>
      <w:r w:rsidRPr="00216328">
        <w:rPr>
          <w:sz w:val="16"/>
          <w:szCs w:val="16"/>
        </w:rPr>
        <w:t>systems</w:t>
      </w:r>
      <w:proofErr w:type="spellEnd"/>
      <w:r w:rsidRPr="00216328">
        <w:rPr>
          <w:sz w:val="16"/>
          <w:szCs w:val="16"/>
        </w:rPr>
        <w:t xml:space="preserve">. </w:t>
      </w:r>
      <w:proofErr w:type="spellStart"/>
      <w:r w:rsidRPr="00216328">
        <w:rPr>
          <w:sz w:val="16"/>
          <w:szCs w:val="16"/>
        </w:rPr>
        <w:t>Circular</w:t>
      </w:r>
      <w:proofErr w:type="spellEnd"/>
      <w:r w:rsidRPr="00216328">
        <w:rPr>
          <w:sz w:val="16"/>
          <w:szCs w:val="16"/>
        </w:rPr>
        <w:t xml:space="preserve"> Economy Portugal, 2021. [</w:t>
      </w:r>
      <w:r w:rsidRPr="00FA7D81">
        <w:rPr>
          <w:sz w:val="16"/>
          <w:szCs w:val="16"/>
        </w:rPr>
        <w:t>https://rethinkplasticalliance.eu/wp-content/uploads/2021/07/Packaging-Reuse-Systems_Study_Final_July2021corr.pdf</w:t>
      </w:r>
      <w:r w:rsidRPr="00216328">
        <w:rPr>
          <w:sz w:val="16"/>
          <w:szCs w:val="16"/>
        </w:rPr>
        <w:t>]</w:t>
      </w:r>
    </w:p>
  </w:footnote>
  <w:footnote w:id="3">
    <w:p w14:paraId="543E654E" w14:textId="77777777" w:rsidR="007E6AF6" w:rsidRDefault="007E6AF6" w:rsidP="007E6AF6">
      <w:pPr>
        <w:pStyle w:val="Allmrkusetekst"/>
      </w:pPr>
      <w:r w:rsidRPr="00216328">
        <w:rPr>
          <w:rStyle w:val="Allmrkuseviide"/>
          <w:sz w:val="16"/>
          <w:szCs w:val="16"/>
        </w:rPr>
        <w:footnoteRef/>
      </w:r>
      <w:r w:rsidRPr="00216328">
        <w:rPr>
          <w:sz w:val="16"/>
          <w:szCs w:val="16"/>
        </w:rPr>
        <w:t xml:space="preserve"> Zheng Lu, Linus Hasselström, Göran Finnvedena , Nils Johansson. Cost-benefit analysis of two possible deposit-refund systems for reuse and recycling of plastic packaging in Sweden. Cleaner Waste Systems, Volume 9, December 2024</w:t>
      </w:r>
    </w:p>
  </w:footnote>
  <w:footnote w:id="4">
    <w:p w14:paraId="220D5702" w14:textId="284EB73B" w:rsidR="006323EA" w:rsidRDefault="006323EA">
      <w:pPr>
        <w:pStyle w:val="Allmrkusetekst"/>
      </w:pPr>
      <w:r>
        <w:rPr>
          <w:rStyle w:val="Allmrkuseviide"/>
        </w:rPr>
        <w:footnoteRef/>
      </w:r>
      <w:r>
        <w:t xml:space="preserve"> </w:t>
      </w:r>
      <w:r w:rsidRPr="006323EA">
        <w:rPr>
          <w:sz w:val="16"/>
          <w:szCs w:val="16"/>
        </w:rPr>
        <w:t>Alates 1. juulist 2026 jõustub keskkonnatasude regulatsiooni muudatus, mille tulemusel suureneb segaolmejäätmete põletamisele rakendatav tasumäär. Sellest tulenevalt kohandatakse BAU‑stsenaariumi jäätmekäitlusega seotud kulukomponenti korrutades vastav kulu korrigeeriva koefitsiendiga 1,4, et kajastada muutunud regulatiivse keskkonna mõju jäätmekäitluskuludele</w:t>
      </w:r>
      <w:r>
        <w:rPr>
          <w:sz w:val="16"/>
          <w:szCs w:val="16"/>
        </w:rPr>
        <w:t>.</w:t>
      </w:r>
    </w:p>
  </w:footnote>
  <w:footnote w:id="5">
    <w:p w14:paraId="091DEF8E" w14:textId="354B3BF6" w:rsidR="0048179F" w:rsidRDefault="0048179F">
      <w:pPr>
        <w:pStyle w:val="Allmrkusetekst"/>
      </w:pPr>
      <w:r>
        <w:rPr>
          <w:rStyle w:val="Allmrkuseviide"/>
        </w:rPr>
        <w:footnoteRef/>
      </w:r>
      <w:r>
        <w:t xml:space="preserve"> </w:t>
      </w:r>
      <w:r w:rsidR="00DF5B29" w:rsidRPr="00DF5B29">
        <w:rPr>
          <w:sz w:val="16"/>
          <w:szCs w:val="16"/>
        </w:rPr>
        <w:t>Täisteenuse maksimaalne ühikuhind on määratud tellija poolt analüüsi normatiivse sisendparameetrina ning esindab teenuse maksumuse ülemist piiri.</w:t>
      </w:r>
      <w:r w:rsidR="00DF5B29">
        <w:rPr>
          <w:sz w:val="16"/>
          <w:szCs w:val="16"/>
        </w:rPr>
        <w:t xml:space="preserve"> Väiksemate pakendikasutusmahtude korral eeldatakse kõrgemat ühikuhinda, jäädes </w:t>
      </w:r>
      <w:r w:rsidR="00DF5B29">
        <w:rPr>
          <w:sz w:val="16"/>
          <w:szCs w:val="16"/>
        </w:rPr>
        <w:t>vahemikku u 0,20–0,28 eur/kasutus).</w:t>
      </w:r>
    </w:p>
  </w:footnote>
  <w:footnote w:id="6">
    <w:p w14:paraId="0C9FB4F2" w14:textId="0842A67B" w:rsidR="00A22D62" w:rsidRDefault="00A22D62">
      <w:pPr>
        <w:pStyle w:val="Allmrkusetekst"/>
      </w:pPr>
      <w:r>
        <w:rPr>
          <w:rStyle w:val="Allmrkuseviide"/>
        </w:rPr>
        <w:footnoteRef/>
      </w:r>
      <w:r>
        <w:t xml:space="preserve"> </w:t>
      </w:r>
      <w:r w:rsidR="00DF5B29" w:rsidRPr="00DF5B29">
        <w:rPr>
          <w:sz w:val="16"/>
          <w:szCs w:val="16"/>
        </w:rPr>
        <w:t xml:space="preserve">Täisteenuse </w:t>
      </w:r>
      <w:r w:rsidR="00DF5B29">
        <w:rPr>
          <w:sz w:val="16"/>
          <w:szCs w:val="16"/>
        </w:rPr>
        <w:t>minimaalne</w:t>
      </w:r>
      <w:r w:rsidR="00DF5B29" w:rsidRPr="00DF5B29">
        <w:rPr>
          <w:sz w:val="16"/>
          <w:szCs w:val="16"/>
        </w:rPr>
        <w:t xml:space="preserve"> ühikuhind on määratud tellija poolt analüüsi normatiivse sisendparameetrina ning esindab teenuse maksumuse </w:t>
      </w:r>
      <w:r w:rsidR="00DF5B29">
        <w:rPr>
          <w:sz w:val="16"/>
          <w:szCs w:val="16"/>
        </w:rPr>
        <w:t>madalamat</w:t>
      </w:r>
      <w:r w:rsidR="00DF5B29" w:rsidRPr="00DF5B29">
        <w:rPr>
          <w:sz w:val="16"/>
          <w:szCs w:val="16"/>
        </w:rPr>
        <w:t xml:space="preserve"> piiri.</w:t>
      </w:r>
      <w:r w:rsidR="00DF5B29">
        <w:rPr>
          <w:sz w:val="16"/>
          <w:szCs w:val="16"/>
        </w:rPr>
        <w:t xml:space="preserve"> Suuremate pakendikasutusmahtude korral eeldatakse madalamat ühikuhinda, jäädes </w:t>
      </w:r>
      <w:r w:rsidR="00DF5B29">
        <w:rPr>
          <w:sz w:val="16"/>
          <w:szCs w:val="16"/>
        </w:rPr>
        <w:t>vahemikku u 0,10–0,15 eur/kasutus).</w:t>
      </w:r>
    </w:p>
  </w:footnote>
  <w:footnote w:id="7">
    <w:p w14:paraId="4BC1BABE" w14:textId="77777777" w:rsidR="003571AE" w:rsidRDefault="003571AE" w:rsidP="003571AE">
      <w:pPr>
        <w:pStyle w:val="Allmrkusetekst"/>
      </w:pPr>
      <w:r>
        <w:rPr>
          <w:rStyle w:val="Allmrkuseviide"/>
        </w:rPr>
        <w:footnoteRef/>
      </w:r>
      <w:r>
        <w:t xml:space="preserve"> </w:t>
      </w:r>
      <w:r w:rsidRPr="00E810F6">
        <w:rPr>
          <w:sz w:val="16"/>
          <w:szCs w:val="16"/>
        </w:rPr>
        <w:t>Guide to Cost-Benefit Analysis of Investment Projects. Economic appraisal tool for Cohesion Policy 2014-2020  [https://ec.europa.eu/regional_policy/sources/studies/cba_guide.pdf]</w:t>
      </w:r>
    </w:p>
  </w:footnote>
  <w:footnote w:id="8">
    <w:p w14:paraId="291BF29B" w14:textId="77777777" w:rsidR="00BE3ED3" w:rsidRDefault="00BE3ED3">
      <w:pPr>
        <w:pStyle w:val="Allmrkusetekst"/>
      </w:pPr>
      <w:r>
        <w:rPr>
          <w:rStyle w:val="Allmrkuseviide"/>
        </w:rPr>
        <w:footnoteRef/>
      </w:r>
      <w:r>
        <w:t xml:space="preserve"> </w:t>
      </w:r>
      <w:r w:rsidRPr="00BE3ED3">
        <w:rPr>
          <w:sz w:val="16"/>
          <w:szCs w:val="16"/>
        </w:rPr>
        <w:t>Impact Assessment of reuse targets in proposed PPWR. Final report. Study commissioned by Cepi, ECMA, EPPA, FEFCO and Pro Carton, 2023. [https://www.cepi.org/wp-content/uploads/2023/04/202303-Impact-Assessment-of-reuse-targets-in-proposed-PPWR_FINAL.pdf]</w:t>
      </w:r>
    </w:p>
  </w:footnote>
  <w:footnote w:id="9">
    <w:p w14:paraId="3036F1DC" w14:textId="77777777" w:rsidR="008D4CE5" w:rsidRDefault="008D4CE5">
      <w:pPr>
        <w:pStyle w:val="Allmrkusetekst"/>
      </w:pPr>
      <w:r>
        <w:rPr>
          <w:rStyle w:val="Allmrkuseviide"/>
        </w:rPr>
        <w:footnoteRef/>
      </w:r>
      <w:r>
        <w:t xml:space="preserve"> </w:t>
      </w:r>
      <w:r w:rsidRPr="00216328">
        <w:rPr>
          <w:sz w:val="16"/>
          <w:szCs w:val="16"/>
        </w:rPr>
        <w:t>Making the business case for Packaging reuse systems. Circular Economy Portugal, 2021. [</w:t>
      </w:r>
      <w:r w:rsidRPr="00FA7D81">
        <w:rPr>
          <w:sz w:val="16"/>
          <w:szCs w:val="16"/>
        </w:rPr>
        <w:t>https://rethinkplasticalliance.eu/wp-content/uploads/2021/07/Packaging-Reuse-Systems_Study_Final_July2021corr.pdf</w:t>
      </w:r>
      <w:r w:rsidRPr="00216328">
        <w:rPr>
          <w:sz w:val="16"/>
          <w:szCs w:val="16"/>
        </w:rPr>
        <w:t>]</w:t>
      </w:r>
    </w:p>
  </w:footnote>
  <w:footnote w:id="10">
    <w:p w14:paraId="46E95EB0" w14:textId="77777777" w:rsidR="008D4CE5" w:rsidRDefault="008D4CE5">
      <w:pPr>
        <w:pStyle w:val="Allmrkusetekst"/>
      </w:pPr>
      <w:r>
        <w:rPr>
          <w:rStyle w:val="Allmrkuseviide"/>
        </w:rPr>
        <w:footnoteRef/>
      </w:r>
      <w:r>
        <w:t xml:space="preserve"> </w:t>
      </w:r>
      <w:r w:rsidRPr="00216328">
        <w:rPr>
          <w:sz w:val="16"/>
          <w:szCs w:val="16"/>
        </w:rPr>
        <w:t>Zheng Lu, Linus Hasselström, Göran Finnvedena , Nils Johansson. Cost-benefit analysis of two possible deposit-refund systems for reuse and recycling of plastic packaging in Sweden. Cleaner Waste Systems, Volume 9, December 2024</w:t>
      </w:r>
    </w:p>
  </w:footnote>
  <w:footnote w:id="11">
    <w:p w14:paraId="01E250A5" w14:textId="77777777" w:rsidR="008D4CE5" w:rsidRDefault="008D4CE5">
      <w:pPr>
        <w:pStyle w:val="Allmrkusetekst"/>
      </w:pPr>
      <w:r>
        <w:rPr>
          <w:rStyle w:val="Allmrkuseviide"/>
        </w:rPr>
        <w:footnoteRef/>
      </w:r>
      <w:r>
        <w:t xml:space="preserve"> </w:t>
      </w:r>
      <w:r w:rsidRPr="00216328">
        <w:rPr>
          <w:sz w:val="16"/>
          <w:szCs w:val="16"/>
        </w:rPr>
        <w:t>Zheng Lu, Linus Hasselström, Göran Finnvedena , Nils Johansson. Cost-benefit analysis of two possible deposit-refund systems for reuse and recycling of plastic packaging in Sweden. Cleaner Waste Systems, Volume 9, December 2024</w:t>
      </w:r>
    </w:p>
  </w:footnote>
  <w:footnote w:id="12">
    <w:p w14:paraId="623C8116" w14:textId="77777777" w:rsidR="008D4CE5" w:rsidRDefault="008D4CE5" w:rsidP="008D4CE5">
      <w:pPr>
        <w:pStyle w:val="Allmrkusetekst"/>
      </w:pPr>
      <w:r>
        <w:rPr>
          <w:rStyle w:val="Allmrkuseviide"/>
        </w:rPr>
        <w:footnoteRef/>
      </w:r>
      <w:r>
        <w:t xml:space="preserve"> </w:t>
      </w:r>
      <w:r w:rsidRPr="00216328">
        <w:rPr>
          <w:sz w:val="16"/>
          <w:szCs w:val="16"/>
        </w:rPr>
        <w:t>Making the business case for Packaging reuse systems. Circular Economy Portugal, 2021. [</w:t>
      </w:r>
      <w:r w:rsidRPr="00FA7D81">
        <w:rPr>
          <w:sz w:val="16"/>
          <w:szCs w:val="16"/>
        </w:rPr>
        <w:t>https://rethinkplasticalliance.eu/wp-content/uploads/2021/07/Packaging-Reuse-Systems_Study_Final_July2021corr.pdf</w:t>
      </w:r>
      <w:r w:rsidRPr="00216328">
        <w:rPr>
          <w:sz w:val="16"/>
          <w:szCs w:val="16"/>
        </w:rPr>
        <w:t>]</w:t>
      </w:r>
    </w:p>
  </w:footnote>
  <w:footnote w:id="13">
    <w:p w14:paraId="46311D35" w14:textId="77777777" w:rsidR="008D4CE5" w:rsidRDefault="008D4CE5">
      <w:pPr>
        <w:pStyle w:val="Allmrkusetekst"/>
      </w:pPr>
      <w:r>
        <w:rPr>
          <w:rStyle w:val="Allmrkuseviide"/>
        </w:rPr>
        <w:footnoteRef/>
      </w:r>
      <w:r>
        <w:t xml:space="preserve"> </w:t>
      </w:r>
      <w:r w:rsidRPr="00BE3ED3">
        <w:rPr>
          <w:sz w:val="16"/>
          <w:szCs w:val="16"/>
        </w:rPr>
        <w:t>Impact Assessment of reuse targets in proposed PPWR. Final report. Study commissioned by Cepi, ECMA, EPPA, FEFCO and Pro Carton, 2023. [https://www.cepi.org/wp-content/uploads/2023/04/202303-Impact-Assessment-of-reuse-targets-in-proposed-PPWR_FINAL.pdf]</w:t>
      </w:r>
    </w:p>
  </w:footnote>
  <w:footnote w:id="14">
    <w:p w14:paraId="653A6087" w14:textId="77777777" w:rsidR="00281C06" w:rsidRDefault="00281C06">
      <w:pPr>
        <w:pStyle w:val="Allmrkusetekst"/>
      </w:pPr>
      <w:r>
        <w:rPr>
          <w:rStyle w:val="Allmrkuseviide"/>
        </w:rPr>
        <w:footnoteRef/>
      </w:r>
      <w:r>
        <w:t xml:space="preserve"> </w:t>
      </w:r>
      <w:r w:rsidRPr="00216328">
        <w:rPr>
          <w:sz w:val="16"/>
          <w:szCs w:val="16"/>
        </w:rPr>
        <w:t>Zheng Lu, Linus Hasselström, Göran Finnvedena , Nils Johansson. Cost-benefit analysis of two possible deposit-refund systems for reuse and recycling of plastic packaging in Sweden. Cleaner Waste Systems, Volume 9, December 2024</w:t>
      </w:r>
    </w:p>
  </w:footnote>
  <w:footnote w:id="15">
    <w:p w14:paraId="0B9618ED" w14:textId="77777777" w:rsidR="00281C06" w:rsidRDefault="00281C06">
      <w:pPr>
        <w:pStyle w:val="Allmrkusetekst"/>
      </w:pPr>
      <w:r>
        <w:rPr>
          <w:rStyle w:val="Allmrkuseviide"/>
        </w:rPr>
        <w:footnoteRef/>
      </w:r>
      <w:r>
        <w:t xml:space="preserve"> </w:t>
      </w:r>
      <w:r w:rsidRPr="00216328">
        <w:rPr>
          <w:sz w:val="16"/>
          <w:szCs w:val="16"/>
        </w:rPr>
        <w:t>Making the business case for Packaging reuse systems. Circular Economy Portugal, 2021. [</w:t>
      </w:r>
      <w:r w:rsidRPr="00FA7D81">
        <w:rPr>
          <w:sz w:val="16"/>
          <w:szCs w:val="16"/>
        </w:rPr>
        <w:t>https://rethinkplasticalliance.eu/wp-content/uploads/2021/07/Packaging-Reuse-Systems_Study_Final_July2021corr.pdf</w:t>
      </w:r>
      <w:r w:rsidRPr="00216328">
        <w:rPr>
          <w:sz w:val="16"/>
          <w:szCs w:val="16"/>
        </w:rPr>
        <w:t>]</w:t>
      </w:r>
    </w:p>
  </w:footnote>
  <w:footnote w:id="16">
    <w:p w14:paraId="1846F592" w14:textId="77777777" w:rsidR="00281C06" w:rsidRDefault="00281C06">
      <w:pPr>
        <w:pStyle w:val="Allmrkusetekst"/>
      </w:pPr>
      <w:r>
        <w:rPr>
          <w:rStyle w:val="Allmrkuseviide"/>
        </w:rPr>
        <w:footnoteRef/>
      </w:r>
      <w:r>
        <w:t xml:space="preserve"> </w:t>
      </w:r>
      <w:r w:rsidRPr="00BE3ED3">
        <w:rPr>
          <w:sz w:val="16"/>
          <w:szCs w:val="16"/>
        </w:rPr>
        <w:t>Impact Assessment of reuse targets in proposed PPWR. Final report. Study commissioned by Cepi, ECMA, EPPA, FEFCO and Pro Carton, 2023. [https://www.cepi.org/wp-content/uploads/2023/04/202303-Impact-Assessment-of-reuse-targets-in-proposed-PPWR_FINAL.pdf]</w:t>
      </w:r>
    </w:p>
  </w:footnote>
  <w:footnote w:id="17">
    <w:p w14:paraId="7547A1BA" w14:textId="77777777" w:rsidR="000F51CF" w:rsidRDefault="000F51CF">
      <w:pPr>
        <w:pStyle w:val="Allmrkusetekst"/>
      </w:pPr>
      <w:r>
        <w:rPr>
          <w:rStyle w:val="Allmrkuseviide"/>
        </w:rPr>
        <w:footnoteRef/>
      </w:r>
      <w:r>
        <w:t xml:space="preserve"> </w:t>
      </w:r>
      <w:r w:rsidRPr="00BE3ED3">
        <w:rPr>
          <w:sz w:val="16"/>
          <w:szCs w:val="16"/>
        </w:rPr>
        <w:t>Impact Assessment of reuse targets in proposed PPWR. Final report. Study commissioned by Cepi, ECMA, EPPA, FEFCO and Pro Carton, 2023. [https://www.cepi.org/wp-content/uploads/2023/04/202303-Impact-Assessment-of-reuse-targets-in-proposed-PPWR_FINAL.pdf]</w:t>
      </w:r>
    </w:p>
  </w:footnote>
  <w:footnote w:id="18">
    <w:p w14:paraId="5814458B" w14:textId="77777777" w:rsidR="000F51CF" w:rsidRDefault="000F51CF">
      <w:pPr>
        <w:pStyle w:val="Allmrkusetekst"/>
      </w:pPr>
      <w:r>
        <w:rPr>
          <w:rStyle w:val="Allmrkuseviide"/>
        </w:rPr>
        <w:footnoteRef/>
      </w:r>
      <w:r>
        <w:t xml:space="preserve"> </w:t>
      </w:r>
      <w:r w:rsidRPr="00216328">
        <w:rPr>
          <w:sz w:val="16"/>
          <w:szCs w:val="16"/>
        </w:rPr>
        <w:t>Making the business case for Packaging reuse systems. Circular Economy Portugal, 2021. [</w:t>
      </w:r>
      <w:r w:rsidRPr="00FA7D81">
        <w:rPr>
          <w:sz w:val="16"/>
          <w:szCs w:val="16"/>
        </w:rPr>
        <w:t>https://rethinkplasticalliance.eu/wp-content/uploads/2021/07/Packaging-Reuse-Systems_Study_Final_July2021corr.pdf</w:t>
      </w:r>
      <w:r w:rsidRPr="0021632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EEEA" w14:textId="4E96224B" w:rsidR="00C53470" w:rsidRPr="00C53470" w:rsidRDefault="00C53470" w:rsidP="00C53470">
    <w:pPr>
      <w:spacing w:after="0" w:line="276" w:lineRule="auto"/>
      <w:jc w:val="right"/>
      <w:rPr>
        <w:color w:val="215E99" w:themeColor="text2" w:themeTint="BF"/>
        <w:sz w:val="36"/>
        <w:szCs w:val="36"/>
      </w:rPr>
    </w:pPr>
    <w:r>
      <w:rPr>
        <w:color w:val="215E99" w:themeColor="text2" w:themeTint="BF"/>
        <w:sz w:val="36"/>
        <w:szCs w:val="36"/>
      </w:rPr>
      <w:t>Seletuskirja lisa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F68"/>
    <w:multiLevelType w:val="multilevel"/>
    <w:tmpl w:val="8A3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3684"/>
    <w:multiLevelType w:val="multilevel"/>
    <w:tmpl w:val="92A088C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Pealkiri4"/>
      <w:lvlText w:val="%4)"/>
      <w:lvlJc w:val="left"/>
      <w:pPr>
        <w:ind w:left="2160" w:firstLine="0"/>
      </w:pPr>
      <w:rPr>
        <w:rFonts w:hint="default"/>
      </w:rPr>
    </w:lvl>
    <w:lvl w:ilvl="4">
      <w:start w:val="1"/>
      <w:numFmt w:val="decimal"/>
      <w:lvlText w:val="Lisa %5"/>
      <w:lvlJc w:val="left"/>
      <w:pPr>
        <w:ind w:left="2880" w:firstLine="0"/>
      </w:pPr>
      <w:rPr>
        <w:rFonts w:ascii="Aptos Display" w:hAnsi="Aptos Display" w:hint="default"/>
        <w:color w:val="0F4761" w:themeColor="accent1" w:themeShade="BF"/>
        <w:sz w:val="22"/>
      </w:rPr>
    </w:lvl>
    <w:lvl w:ilvl="5">
      <w:start w:val="1"/>
      <w:numFmt w:val="lowerLetter"/>
      <w:pStyle w:val="Pealkiri6"/>
      <w:lvlText w:val="(%6)"/>
      <w:lvlJc w:val="left"/>
      <w:pPr>
        <w:ind w:left="3600" w:firstLine="0"/>
      </w:pPr>
      <w:rPr>
        <w:rFonts w:hint="default"/>
      </w:rPr>
    </w:lvl>
    <w:lvl w:ilvl="6">
      <w:start w:val="1"/>
      <w:numFmt w:val="lowerRoman"/>
      <w:pStyle w:val="Pealkiri7"/>
      <w:lvlText w:val="(%7)"/>
      <w:lvlJc w:val="left"/>
      <w:pPr>
        <w:ind w:left="4320" w:firstLine="0"/>
      </w:pPr>
      <w:rPr>
        <w:rFonts w:hint="default"/>
      </w:rPr>
    </w:lvl>
    <w:lvl w:ilvl="7">
      <w:start w:val="1"/>
      <w:numFmt w:val="lowerLetter"/>
      <w:pStyle w:val="Pealkiri8"/>
      <w:lvlText w:val="(%8)"/>
      <w:lvlJc w:val="left"/>
      <w:pPr>
        <w:ind w:left="5040" w:firstLine="0"/>
      </w:pPr>
      <w:rPr>
        <w:rFonts w:hint="default"/>
      </w:rPr>
    </w:lvl>
    <w:lvl w:ilvl="8">
      <w:start w:val="1"/>
      <w:numFmt w:val="lowerRoman"/>
      <w:pStyle w:val="Pealkiri9"/>
      <w:lvlText w:val="(%9)"/>
      <w:lvlJc w:val="left"/>
      <w:pPr>
        <w:ind w:left="5760" w:firstLine="0"/>
      </w:pPr>
      <w:rPr>
        <w:rFonts w:hint="default"/>
      </w:rPr>
    </w:lvl>
  </w:abstractNum>
  <w:abstractNum w:abstractNumId="2" w15:restartNumberingAfterBreak="0">
    <w:nsid w:val="032B30BF"/>
    <w:multiLevelType w:val="multilevel"/>
    <w:tmpl w:val="A8D2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86289"/>
    <w:multiLevelType w:val="multilevel"/>
    <w:tmpl w:val="6406D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color w:val="0F4761" w:themeColor="accent1" w:themeShade="BF"/>
        <w:sz w:val="28"/>
        <w:szCs w:val="28"/>
      </w:rPr>
    </w:lvl>
    <w:lvl w:ilvl="2">
      <w:start w:val="1"/>
      <w:numFmt w:val="decimal"/>
      <w:isLgl/>
      <w:lvlText w:val="%1.%2.%3."/>
      <w:lvlJc w:val="left"/>
      <w:pPr>
        <w:ind w:left="1080" w:hanging="720"/>
      </w:pPr>
      <w:rPr>
        <w:rFonts w:hint="default"/>
        <w:color w:val="0F4761" w:themeColor="accent1" w:themeShade="BF"/>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5E4208"/>
    <w:multiLevelType w:val="hybridMultilevel"/>
    <w:tmpl w:val="D0CA74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EB01FD"/>
    <w:multiLevelType w:val="hybridMultilevel"/>
    <w:tmpl w:val="0CA45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7F763E"/>
    <w:multiLevelType w:val="multilevel"/>
    <w:tmpl w:val="58A29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color w:val="0F4761" w:themeColor="accent1" w:themeShade="BF"/>
        <w:sz w:val="32"/>
        <w:szCs w:val="32"/>
      </w:rPr>
    </w:lvl>
    <w:lvl w:ilvl="2">
      <w:start w:val="1"/>
      <w:numFmt w:val="decimal"/>
      <w:isLgl/>
      <w:lvlText w:val="%1.%2.%3."/>
      <w:lvlJc w:val="left"/>
      <w:pPr>
        <w:ind w:left="1080" w:hanging="720"/>
      </w:pPr>
      <w:rPr>
        <w:rFonts w:asciiTheme="majorHAnsi" w:hAnsiTheme="majorHAnsi" w:hint="default"/>
        <w:color w:val="0F4761" w:themeColor="accent1" w:themeShade="BF"/>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7500CA"/>
    <w:multiLevelType w:val="hybridMultilevel"/>
    <w:tmpl w:val="E4F40D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6252D55"/>
    <w:multiLevelType w:val="multilevel"/>
    <w:tmpl w:val="B73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7760D"/>
    <w:multiLevelType w:val="hybridMultilevel"/>
    <w:tmpl w:val="5C4E84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2C3CC0"/>
    <w:multiLevelType w:val="hybridMultilevel"/>
    <w:tmpl w:val="878A40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B693D3D"/>
    <w:multiLevelType w:val="multilevel"/>
    <w:tmpl w:val="27E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E003C"/>
    <w:multiLevelType w:val="multilevel"/>
    <w:tmpl w:val="4A94A620"/>
    <w:lvl w:ilvl="0">
      <w:start w:val="20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27135"/>
    <w:multiLevelType w:val="hybridMultilevel"/>
    <w:tmpl w:val="8A788096"/>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4" w15:restartNumberingAfterBreak="0">
    <w:nsid w:val="27174CA9"/>
    <w:multiLevelType w:val="hybridMultilevel"/>
    <w:tmpl w:val="848EE0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7ED67EB"/>
    <w:multiLevelType w:val="hybridMultilevel"/>
    <w:tmpl w:val="5A144CF4"/>
    <w:lvl w:ilvl="0" w:tplc="C33EB250">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28950C48"/>
    <w:multiLevelType w:val="hybridMultilevel"/>
    <w:tmpl w:val="9DD6BD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8E514FC"/>
    <w:multiLevelType w:val="hybridMultilevel"/>
    <w:tmpl w:val="7B5283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9F84B29"/>
    <w:multiLevelType w:val="hybridMultilevel"/>
    <w:tmpl w:val="3294D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A27570A"/>
    <w:multiLevelType w:val="hybridMultilevel"/>
    <w:tmpl w:val="A620A5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B080EBE"/>
    <w:multiLevelType w:val="multilevel"/>
    <w:tmpl w:val="AA7A90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color w:val="0F4761" w:themeColor="accent1" w:themeShade="BF"/>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2E1FE2"/>
    <w:multiLevelType w:val="hybridMultilevel"/>
    <w:tmpl w:val="C3BA40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17644EA"/>
    <w:multiLevelType w:val="hybridMultilevel"/>
    <w:tmpl w:val="88D27534"/>
    <w:lvl w:ilvl="0" w:tplc="04250017">
      <w:start w:val="1"/>
      <w:numFmt w:val="lowerLetter"/>
      <w:lvlText w:val="%1)"/>
      <w:lvlJc w:val="left"/>
      <w:pPr>
        <w:ind w:left="720" w:hanging="360"/>
      </w:pPr>
    </w:lvl>
    <w:lvl w:ilvl="1" w:tplc="AE44EE52">
      <w:start w:val="1"/>
      <w:numFmt w:val="lowerRoman"/>
      <w:lvlText w:val="(%2)"/>
      <w:lvlJc w:val="left"/>
      <w:pPr>
        <w:ind w:left="1800" w:hanging="72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666377D"/>
    <w:multiLevelType w:val="multilevel"/>
    <w:tmpl w:val="02DC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950EA"/>
    <w:multiLevelType w:val="multilevel"/>
    <w:tmpl w:val="DF38E26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333FFB"/>
    <w:multiLevelType w:val="multilevel"/>
    <w:tmpl w:val="6F1E706E"/>
    <w:lvl w:ilvl="0">
      <w:start w:val="1"/>
      <w:numFmt w:val="bullet"/>
      <w:lvlText w:val=""/>
      <w:lvlJc w:val="left"/>
      <w:pPr>
        <w:tabs>
          <w:tab w:val="num" w:pos="720"/>
        </w:tabs>
        <w:ind w:left="720" w:hanging="360"/>
      </w:pPr>
      <w:rPr>
        <w:rFonts w:ascii="Symbol" w:hAnsi="Symbol" w:hint="default"/>
        <w:sz w:val="20"/>
      </w:rPr>
    </w:lvl>
    <w:lvl w:ilvl="1">
      <w:start w:val="203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F24AA"/>
    <w:multiLevelType w:val="hybridMultilevel"/>
    <w:tmpl w:val="46B4E1EC"/>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30726D3"/>
    <w:multiLevelType w:val="hybridMultilevel"/>
    <w:tmpl w:val="4728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8470B63"/>
    <w:multiLevelType w:val="multilevel"/>
    <w:tmpl w:val="27B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9480B"/>
    <w:multiLevelType w:val="multilevel"/>
    <w:tmpl w:val="499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42F51"/>
    <w:multiLevelType w:val="hybridMultilevel"/>
    <w:tmpl w:val="BF7689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1DF22D0"/>
    <w:multiLevelType w:val="hybridMultilevel"/>
    <w:tmpl w:val="ADE4AF54"/>
    <w:lvl w:ilvl="0" w:tplc="07B27DE8">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2" w15:restartNumberingAfterBreak="0">
    <w:nsid w:val="54A04B93"/>
    <w:multiLevelType w:val="multilevel"/>
    <w:tmpl w:val="337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36EFA"/>
    <w:multiLevelType w:val="multilevel"/>
    <w:tmpl w:val="6406D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color w:val="0F4761" w:themeColor="accent1" w:themeShade="BF"/>
        <w:sz w:val="28"/>
        <w:szCs w:val="28"/>
      </w:rPr>
    </w:lvl>
    <w:lvl w:ilvl="2">
      <w:start w:val="1"/>
      <w:numFmt w:val="decimal"/>
      <w:isLgl/>
      <w:lvlText w:val="%1.%2.%3."/>
      <w:lvlJc w:val="left"/>
      <w:pPr>
        <w:ind w:left="1080" w:hanging="720"/>
      </w:pPr>
      <w:rPr>
        <w:rFonts w:hint="default"/>
        <w:color w:val="0F4761" w:themeColor="accent1" w:themeShade="BF"/>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1B30C1"/>
    <w:multiLevelType w:val="multilevel"/>
    <w:tmpl w:val="AA7A90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color w:val="0F4761" w:themeColor="accent1" w:themeShade="BF"/>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1A12BF"/>
    <w:multiLevelType w:val="multilevel"/>
    <w:tmpl w:val="B9F8EF1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C848EF"/>
    <w:multiLevelType w:val="hybridMultilevel"/>
    <w:tmpl w:val="8682A75C"/>
    <w:lvl w:ilvl="0" w:tplc="602A8BAA">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7" w15:restartNumberingAfterBreak="0">
    <w:nsid w:val="69982E93"/>
    <w:multiLevelType w:val="hybridMultilevel"/>
    <w:tmpl w:val="1424F5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A3D67C9"/>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1B26B7"/>
    <w:multiLevelType w:val="multilevel"/>
    <w:tmpl w:val="C40C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35C8C"/>
    <w:multiLevelType w:val="hybridMultilevel"/>
    <w:tmpl w:val="9B36F0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D120FE9"/>
    <w:multiLevelType w:val="multilevel"/>
    <w:tmpl w:val="46E8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D621D"/>
    <w:multiLevelType w:val="multilevel"/>
    <w:tmpl w:val="865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C56EA"/>
    <w:multiLevelType w:val="multilevel"/>
    <w:tmpl w:val="3AD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36AEF"/>
    <w:multiLevelType w:val="multilevel"/>
    <w:tmpl w:val="50BCC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562073C"/>
    <w:multiLevelType w:val="hybridMultilevel"/>
    <w:tmpl w:val="9328E6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6625EBD"/>
    <w:multiLevelType w:val="hybridMultilevel"/>
    <w:tmpl w:val="6A3017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90500E7"/>
    <w:multiLevelType w:val="hybridMultilevel"/>
    <w:tmpl w:val="919A68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22269207">
    <w:abstractNumId w:val="39"/>
  </w:num>
  <w:num w:numId="2" w16cid:durableId="521166492">
    <w:abstractNumId w:val="32"/>
  </w:num>
  <w:num w:numId="3" w16cid:durableId="1766220046">
    <w:abstractNumId w:val="8"/>
  </w:num>
  <w:num w:numId="4" w16cid:durableId="1692105836">
    <w:abstractNumId w:val="10"/>
  </w:num>
  <w:num w:numId="5" w16cid:durableId="1638611518">
    <w:abstractNumId w:val="18"/>
  </w:num>
  <w:num w:numId="6" w16cid:durableId="395933166">
    <w:abstractNumId w:val="47"/>
  </w:num>
  <w:num w:numId="7" w16cid:durableId="1782334486">
    <w:abstractNumId w:val="44"/>
  </w:num>
  <w:num w:numId="8" w16cid:durableId="1527407187">
    <w:abstractNumId w:val="23"/>
  </w:num>
  <w:num w:numId="9" w16cid:durableId="938411649">
    <w:abstractNumId w:val="35"/>
  </w:num>
  <w:num w:numId="10" w16cid:durableId="1431706794">
    <w:abstractNumId w:val="25"/>
  </w:num>
  <w:num w:numId="11" w16cid:durableId="1008409485">
    <w:abstractNumId w:val="25"/>
    <w:lvlOverride w:ilvl="1">
      <w:startOverride w:val="2030"/>
    </w:lvlOverride>
  </w:num>
  <w:num w:numId="12" w16cid:durableId="2074036342">
    <w:abstractNumId w:val="24"/>
  </w:num>
  <w:num w:numId="13" w16cid:durableId="1088649624">
    <w:abstractNumId w:val="12"/>
  </w:num>
  <w:num w:numId="14" w16cid:durableId="1287538861">
    <w:abstractNumId w:val="15"/>
  </w:num>
  <w:num w:numId="15" w16cid:durableId="754211534">
    <w:abstractNumId w:val="40"/>
  </w:num>
  <w:num w:numId="16" w16cid:durableId="1216307487">
    <w:abstractNumId w:val="19"/>
  </w:num>
  <w:num w:numId="17" w16cid:durableId="1068261326">
    <w:abstractNumId w:val="22"/>
  </w:num>
  <w:num w:numId="18" w16cid:durableId="2051879203">
    <w:abstractNumId w:val="27"/>
  </w:num>
  <w:num w:numId="19" w16cid:durableId="1096829420">
    <w:abstractNumId w:val="9"/>
  </w:num>
  <w:num w:numId="20" w16cid:durableId="632249364">
    <w:abstractNumId w:val="16"/>
  </w:num>
  <w:num w:numId="21" w16cid:durableId="1689330897">
    <w:abstractNumId w:val="5"/>
  </w:num>
  <w:num w:numId="22" w16cid:durableId="2036882485">
    <w:abstractNumId w:val="14"/>
  </w:num>
  <w:num w:numId="23" w16cid:durableId="1448500666">
    <w:abstractNumId w:val="46"/>
  </w:num>
  <w:num w:numId="24" w16cid:durableId="948243935">
    <w:abstractNumId w:val="30"/>
  </w:num>
  <w:num w:numId="25" w16cid:durableId="1801418429">
    <w:abstractNumId w:val="31"/>
  </w:num>
  <w:num w:numId="26" w16cid:durableId="10761353">
    <w:abstractNumId w:val="36"/>
  </w:num>
  <w:num w:numId="27" w16cid:durableId="1944336314">
    <w:abstractNumId w:val="7"/>
  </w:num>
  <w:num w:numId="28" w16cid:durableId="1541749744">
    <w:abstractNumId w:val="6"/>
  </w:num>
  <w:num w:numId="29" w16cid:durableId="938023427">
    <w:abstractNumId w:val="17"/>
  </w:num>
  <w:num w:numId="30" w16cid:durableId="1528979990">
    <w:abstractNumId w:val="26"/>
  </w:num>
  <w:num w:numId="31" w16cid:durableId="1708600642">
    <w:abstractNumId w:val="37"/>
  </w:num>
  <w:num w:numId="32" w16cid:durableId="809175770">
    <w:abstractNumId w:val="4"/>
  </w:num>
  <w:num w:numId="33" w16cid:durableId="878670034">
    <w:abstractNumId w:val="42"/>
  </w:num>
  <w:num w:numId="34" w16cid:durableId="1983536118">
    <w:abstractNumId w:val="0"/>
  </w:num>
  <w:num w:numId="35" w16cid:durableId="49232093">
    <w:abstractNumId w:val="29"/>
  </w:num>
  <w:num w:numId="36" w16cid:durableId="1716856633">
    <w:abstractNumId w:val="28"/>
  </w:num>
  <w:num w:numId="37" w16cid:durableId="1935897834">
    <w:abstractNumId w:val="41"/>
  </w:num>
  <w:num w:numId="38" w16cid:durableId="1362439724">
    <w:abstractNumId w:val="43"/>
  </w:num>
  <w:num w:numId="39" w16cid:durableId="698354077">
    <w:abstractNumId w:val="11"/>
  </w:num>
  <w:num w:numId="40" w16cid:durableId="789470299">
    <w:abstractNumId w:val="2"/>
  </w:num>
  <w:num w:numId="41" w16cid:durableId="1740323277">
    <w:abstractNumId w:val="21"/>
  </w:num>
  <w:num w:numId="42" w16cid:durableId="1164012748">
    <w:abstractNumId w:val="20"/>
  </w:num>
  <w:num w:numId="43" w16cid:durableId="559556708">
    <w:abstractNumId w:val="34"/>
  </w:num>
  <w:num w:numId="44" w16cid:durableId="100729134">
    <w:abstractNumId w:val="45"/>
  </w:num>
  <w:num w:numId="45" w16cid:durableId="1493526250">
    <w:abstractNumId w:val="33"/>
  </w:num>
  <w:num w:numId="46" w16cid:durableId="1732462632">
    <w:abstractNumId w:val="3"/>
  </w:num>
  <w:num w:numId="47" w16cid:durableId="617025142">
    <w:abstractNumId w:val="38"/>
  </w:num>
  <w:num w:numId="48" w16cid:durableId="353504479">
    <w:abstractNumId w:val="1"/>
  </w:num>
  <w:num w:numId="49" w16cid:durableId="162286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Tavatabel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AF"/>
    <w:rsid w:val="00003FF2"/>
    <w:rsid w:val="00007913"/>
    <w:rsid w:val="00012506"/>
    <w:rsid w:val="00013AB7"/>
    <w:rsid w:val="000229B8"/>
    <w:rsid w:val="00023CDE"/>
    <w:rsid w:val="00026565"/>
    <w:rsid w:val="00026ADD"/>
    <w:rsid w:val="00027943"/>
    <w:rsid w:val="00035E75"/>
    <w:rsid w:val="00037DA4"/>
    <w:rsid w:val="00037EEC"/>
    <w:rsid w:val="00042C20"/>
    <w:rsid w:val="00043B3A"/>
    <w:rsid w:val="00052D84"/>
    <w:rsid w:val="00053741"/>
    <w:rsid w:val="000573F4"/>
    <w:rsid w:val="00062DAF"/>
    <w:rsid w:val="00063853"/>
    <w:rsid w:val="000654EC"/>
    <w:rsid w:val="00067E19"/>
    <w:rsid w:val="00070BA1"/>
    <w:rsid w:val="00073C9C"/>
    <w:rsid w:val="00075683"/>
    <w:rsid w:val="0008744C"/>
    <w:rsid w:val="00090983"/>
    <w:rsid w:val="000952CA"/>
    <w:rsid w:val="000A59E3"/>
    <w:rsid w:val="000A5B0C"/>
    <w:rsid w:val="000A6080"/>
    <w:rsid w:val="000A6FE9"/>
    <w:rsid w:val="000B311B"/>
    <w:rsid w:val="000B3A0C"/>
    <w:rsid w:val="000B6217"/>
    <w:rsid w:val="000B686C"/>
    <w:rsid w:val="000B7DBB"/>
    <w:rsid w:val="000C129F"/>
    <w:rsid w:val="000C39E4"/>
    <w:rsid w:val="000D0904"/>
    <w:rsid w:val="000D1100"/>
    <w:rsid w:val="000D1BE1"/>
    <w:rsid w:val="000D2564"/>
    <w:rsid w:val="000D4BA4"/>
    <w:rsid w:val="000D680F"/>
    <w:rsid w:val="000E1054"/>
    <w:rsid w:val="000E57EE"/>
    <w:rsid w:val="000F15EF"/>
    <w:rsid w:val="000F1CF6"/>
    <w:rsid w:val="000F3FAE"/>
    <w:rsid w:val="000F51CF"/>
    <w:rsid w:val="000F66CC"/>
    <w:rsid w:val="00102739"/>
    <w:rsid w:val="00103A92"/>
    <w:rsid w:val="0010513C"/>
    <w:rsid w:val="00113E5A"/>
    <w:rsid w:val="00114142"/>
    <w:rsid w:val="00116660"/>
    <w:rsid w:val="001173ED"/>
    <w:rsid w:val="00121F84"/>
    <w:rsid w:val="00122302"/>
    <w:rsid w:val="0012454D"/>
    <w:rsid w:val="001250D6"/>
    <w:rsid w:val="00132723"/>
    <w:rsid w:val="00133418"/>
    <w:rsid w:val="001341A1"/>
    <w:rsid w:val="00137087"/>
    <w:rsid w:val="00137BFD"/>
    <w:rsid w:val="0014174E"/>
    <w:rsid w:val="00146D3C"/>
    <w:rsid w:val="00162D5B"/>
    <w:rsid w:val="0016365D"/>
    <w:rsid w:val="00163B66"/>
    <w:rsid w:val="00164735"/>
    <w:rsid w:val="00164D25"/>
    <w:rsid w:val="00166075"/>
    <w:rsid w:val="00171C1B"/>
    <w:rsid w:val="0017361B"/>
    <w:rsid w:val="00175D31"/>
    <w:rsid w:val="00176AEA"/>
    <w:rsid w:val="001816E2"/>
    <w:rsid w:val="0018336B"/>
    <w:rsid w:val="001852E2"/>
    <w:rsid w:val="00190699"/>
    <w:rsid w:val="0019726B"/>
    <w:rsid w:val="001A36FE"/>
    <w:rsid w:val="001A53B2"/>
    <w:rsid w:val="001A6595"/>
    <w:rsid w:val="001A74C9"/>
    <w:rsid w:val="001A753E"/>
    <w:rsid w:val="001A7B8B"/>
    <w:rsid w:val="001B49EA"/>
    <w:rsid w:val="001B6553"/>
    <w:rsid w:val="001C48B3"/>
    <w:rsid w:val="001C658B"/>
    <w:rsid w:val="001E021B"/>
    <w:rsid w:val="001E0CC8"/>
    <w:rsid w:val="001E49F5"/>
    <w:rsid w:val="001E6D5A"/>
    <w:rsid w:val="001F2D28"/>
    <w:rsid w:val="002007A4"/>
    <w:rsid w:val="00204F91"/>
    <w:rsid w:val="00206730"/>
    <w:rsid w:val="00210917"/>
    <w:rsid w:val="00212C28"/>
    <w:rsid w:val="00216328"/>
    <w:rsid w:val="002166B9"/>
    <w:rsid w:val="002218A4"/>
    <w:rsid w:val="00221F58"/>
    <w:rsid w:val="002257A8"/>
    <w:rsid w:val="0022757F"/>
    <w:rsid w:val="00227FDB"/>
    <w:rsid w:val="002332E3"/>
    <w:rsid w:val="0023563E"/>
    <w:rsid w:val="002379A8"/>
    <w:rsid w:val="00241871"/>
    <w:rsid w:val="00242A84"/>
    <w:rsid w:val="00244254"/>
    <w:rsid w:val="002448ED"/>
    <w:rsid w:val="00244A3E"/>
    <w:rsid w:val="002507CB"/>
    <w:rsid w:val="00250A45"/>
    <w:rsid w:val="00251574"/>
    <w:rsid w:val="0025167C"/>
    <w:rsid w:val="0025215C"/>
    <w:rsid w:val="00253D8B"/>
    <w:rsid w:val="0026093A"/>
    <w:rsid w:val="00263B45"/>
    <w:rsid w:val="0026522F"/>
    <w:rsid w:val="00267BC3"/>
    <w:rsid w:val="0027588B"/>
    <w:rsid w:val="00281174"/>
    <w:rsid w:val="00281C06"/>
    <w:rsid w:val="00282366"/>
    <w:rsid w:val="0028453B"/>
    <w:rsid w:val="00285AD2"/>
    <w:rsid w:val="00286219"/>
    <w:rsid w:val="00287957"/>
    <w:rsid w:val="00291194"/>
    <w:rsid w:val="002937CE"/>
    <w:rsid w:val="0029578C"/>
    <w:rsid w:val="00295AC3"/>
    <w:rsid w:val="0029782C"/>
    <w:rsid w:val="002A086D"/>
    <w:rsid w:val="002A46EA"/>
    <w:rsid w:val="002A6F56"/>
    <w:rsid w:val="002B19FC"/>
    <w:rsid w:val="002B71B7"/>
    <w:rsid w:val="002C0218"/>
    <w:rsid w:val="002C16DC"/>
    <w:rsid w:val="002C2275"/>
    <w:rsid w:val="002C2799"/>
    <w:rsid w:val="002C5794"/>
    <w:rsid w:val="002C667F"/>
    <w:rsid w:val="002D244C"/>
    <w:rsid w:val="002D2851"/>
    <w:rsid w:val="002D3362"/>
    <w:rsid w:val="002D3643"/>
    <w:rsid w:val="002E1682"/>
    <w:rsid w:val="002E52C5"/>
    <w:rsid w:val="002F0606"/>
    <w:rsid w:val="002F0A14"/>
    <w:rsid w:val="002F1055"/>
    <w:rsid w:val="002F3E03"/>
    <w:rsid w:val="00303DBD"/>
    <w:rsid w:val="0031180E"/>
    <w:rsid w:val="00313309"/>
    <w:rsid w:val="00316245"/>
    <w:rsid w:val="00325A4E"/>
    <w:rsid w:val="00334024"/>
    <w:rsid w:val="00342576"/>
    <w:rsid w:val="00351EF5"/>
    <w:rsid w:val="003548CC"/>
    <w:rsid w:val="00355CB3"/>
    <w:rsid w:val="00356D24"/>
    <w:rsid w:val="003571AE"/>
    <w:rsid w:val="00360F47"/>
    <w:rsid w:val="003615B3"/>
    <w:rsid w:val="003647C5"/>
    <w:rsid w:val="00364ECA"/>
    <w:rsid w:val="00365E12"/>
    <w:rsid w:val="00366D59"/>
    <w:rsid w:val="00376CFC"/>
    <w:rsid w:val="00394A4C"/>
    <w:rsid w:val="00397A73"/>
    <w:rsid w:val="003A48D3"/>
    <w:rsid w:val="003A4B27"/>
    <w:rsid w:val="003A56A5"/>
    <w:rsid w:val="003A6102"/>
    <w:rsid w:val="003B1ABE"/>
    <w:rsid w:val="003B5CA4"/>
    <w:rsid w:val="003B7512"/>
    <w:rsid w:val="003B7685"/>
    <w:rsid w:val="003C0034"/>
    <w:rsid w:val="003D110D"/>
    <w:rsid w:val="003D47D9"/>
    <w:rsid w:val="003D4B94"/>
    <w:rsid w:val="003D7B24"/>
    <w:rsid w:val="003E1991"/>
    <w:rsid w:val="003E255E"/>
    <w:rsid w:val="003E42D7"/>
    <w:rsid w:val="003F3B0D"/>
    <w:rsid w:val="003F4427"/>
    <w:rsid w:val="0040105E"/>
    <w:rsid w:val="00402F02"/>
    <w:rsid w:val="004107A2"/>
    <w:rsid w:val="00413007"/>
    <w:rsid w:val="00415879"/>
    <w:rsid w:val="0042336D"/>
    <w:rsid w:val="00431AE3"/>
    <w:rsid w:val="00435576"/>
    <w:rsid w:val="00441A25"/>
    <w:rsid w:val="00447479"/>
    <w:rsid w:val="00462A4B"/>
    <w:rsid w:val="0047064E"/>
    <w:rsid w:val="00472D58"/>
    <w:rsid w:val="00473221"/>
    <w:rsid w:val="004748A6"/>
    <w:rsid w:val="00475417"/>
    <w:rsid w:val="0048179F"/>
    <w:rsid w:val="00487956"/>
    <w:rsid w:val="0048797C"/>
    <w:rsid w:val="00496001"/>
    <w:rsid w:val="00496A33"/>
    <w:rsid w:val="004A0418"/>
    <w:rsid w:val="004A07B9"/>
    <w:rsid w:val="004A6CFE"/>
    <w:rsid w:val="004B0B87"/>
    <w:rsid w:val="004C2157"/>
    <w:rsid w:val="004D19C7"/>
    <w:rsid w:val="004D221D"/>
    <w:rsid w:val="004D258E"/>
    <w:rsid w:val="004E0915"/>
    <w:rsid w:val="004E6D0B"/>
    <w:rsid w:val="004F22B8"/>
    <w:rsid w:val="004F274F"/>
    <w:rsid w:val="005034B3"/>
    <w:rsid w:val="005175DB"/>
    <w:rsid w:val="005212CA"/>
    <w:rsid w:val="00523B55"/>
    <w:rsid w:val="00526E3D"/>
    <w:rsid w:val="005278E4"/>
    <w:rsid w:val="005338BB"/>
    <w:rsid w:val="0053500A"/>
    <w:rsid w:val="00540AA4"/>
    <w:rsid w:val="00543C71"/>
    <w:rsid w:val="00545BAA"/>
    <w:rsid w:val="00555E5F"/>
    <w:rsid w:val="00557569"/>
    <w:rsid w:val="0056062F"/>
    <w:rsid w:val="0056307E"/>
    <w:rsid w:val="00563FD3"/>
    <w:rsid w:val="0057047A"/>
    <w:rsid w:val="00572CCE"/>
    <w:rsid w:val="00577C8A"/>
    <w:rsid w:val="00580603"/>
    <w:rsid w:val="00582737"/>
    <w:rsid w:val="005909E7"/>
    <w:rsid w:val="00596022"/>
    <w:rsid w:val="005A267D"/>
    <w:rsid w:val="005A777B"/>
    <w:rsid w:val="005B155B"/>
    <w:rsid w:val="005B321D"/>
    <w:rsid w:val="005B3248"/>
    <w:rsid w:val="005B3E51"/>
    <w:rsid w:val="005C5FCE"/>
    <w:rsid w:val="005C7DC7"/>
    <w:rsid w:val="005C7F03"/>
    <w:rsid w:val="005D1E13"/>
    <w:rsid w:val="005D4D93"/>
    <w:rsid w:val="005E5579"/>
    <w:rsid w:val="005F006F"/>
    <w:rsid w:val="00600DCA"/>
    <w:rsid w:val="00600F37"/>
    <w:rsid w:val="006013BB"/>
    <w:rsid w:val="0060404E"/>
    <w:rsid w:val="00605961"/>
    <w:rsid w:val="00611DB7"/>
    <w:rsid w:val="00612888"/>
    <w:rsid w:val="00616E84"/>
    <w:rsid w:val="00620A8D"/>
    <w:rsid w:val="00624F93"/>
    <w:rsid w:val="00627F0B"/>
    <w:rsid w:val="00631B40"/>
    <w:rsid w:val="00631CE9"/>
    <w:rsid w:val="006323EA"/>
    <w:rsid w:val="00632DED"/>
    <w:rsid w:val="006533FD"/>
    <w:rsid w:val="00662C74"/>
    <w:rsid w:val="00663E9A"/>
    <w:rsid w:val="00665F64"/>
    <w:rsid w:val="0067615E"/>
    <w:rsid w:val="006814AD"/>
    <w:rsid w:val="0068156F"/>
    <w:rsid w:val="006815DC"/>
    <w:rsid w:val="00681823"/>
    <w:rsid w:val="00681C6B"/>
    <w:rsid w:val="0069402F"/>
    <w:rsid w:val="00696F38"/>
    <w:rsid w:val="006A7523"/>
    <w:rsid w:val="006B0867"/>
    <w:rsid w:val="006B57EB"/>
    <w:rsid w:val="006C022B"/>
    <w:rsid w:val="006C107B"/>
    <w:rsid w:val="006C308D"/>
    <w:rsid w:val="006C4FEE"/>
    <w:rsid w:val="006C633A"/>
    <w:rsid w:val="006C64A3"/>
    <w:rsid w:val="006D310C"/>
    <w:rsid w:val="006E48A1"/>
    <w:rsid w:val="006E6C04"/>
    <w:rsid w:val="006E7C3A"/>
    <w:rsid w:val="006F6AC6"/>
    <w:rsid w:val="00700CB6"/>
    <w:rsid w:val="00707156"/>
    <w:rsid w:val="0071168A"/>
    <w:rsid w:val="00720124"/>
    <w:rsid w:val="00720328"/>
    <w:rsid w:val="00722702"/>
    <w:rsid w:val="007253A7"/>
    <w:rsid w:val="00727797"/>
    <w:rsid w:val="007304D8"/>
    <w:rsid w:val="007349EC"/>
    <w:rsid w:val="007355D9"/>
    <w:rsid w:val="00741B60"/>
    <w:rsid w:val="00741C26"/>
    <w:rsid w:val="00741E27"/>
    <w:rsid w:val="00742E15"/>
    <w:rsid w:val="00746625"/>
    <w:rsid w:val="00747D01"/>
    <w:rsid w:val="00747E66"/>
    <w:rsid w:val="007527B9"/>
    <w:rsid w:val="007602B9"/>
    <w:rsid w:val="00763171"/>
    <w:rsid w:val="00763351"/>
    <w:rsid w:val="0076346D"/>
    <w:rsid w:val="00765D4E"/>
    <w:rsid w:val="0076639A"/>
    <w:rsid w:val="0077275D"/>
    <w:rsid w:val="00776803"/>
    <w:rsid w:val="0078351B"/>
    <w:rsid w:val="00786EF8"/>
    <w:rsid w:val="00797380"/>
    <w:rsid w:val="007A675A"/>
    <w:rsid w:val="007B2BF5"/>
    <w:rsid w:val="007C3279"/>
    <w:rsid w:val="007C384F"/>
    <w:rsid w:val="007C609E"/>
    <w:rsid w:val="007D1963"/>
    <w:rsid w:val="007D33B4"/>
    <w:rsid w:val="007D4ED0"/>
    <w:rsid w:val="007D504B"/>
    <w:rsid w:val="007D7B24"/>
    <w:rsid w:val="007E6AF6"/>
    <w:rsid w:val="007E755A"/>
    <w:rsid w:val="00806121"/>
    <w:rsid w:val="0080750B"/>
    <w:rsid w:val="008115B0"/>
    <w:rsid w:val="008133B0"/>
    <w:rsid w:val="00821C33"/>
    <w:rsid w:val="00822D9E"/>
    <w:rsid w:val="00823C3C"/>
    <w:rsid w:val="00824D0A"/>
    <w:rsid w:val="00825CE0"/>
    <w:rsid w:val="00826176"/>
    <w:rsid w:val="00827673"/>
    <w:rsid w:val="008318CA"/>
    <w:rsid w:val="00836190"/>
    <w:rsid w:val="00840541"/>
    <w:rsid w:val="008424DC"/>
    <w:rsid w:val="008436E6"/>
    <w:rsid w:val="00844168"/>
    <w:rsid w:val="00847B54"/>
    <w:rsid w:val="00852B52"/>
    <w:rsid w:val="00856172"/>
    <w:rsid w:val="008678C6"/>
    <w:rsid w:val="00871866"/>
    <w:rsid w:val="00872073"/>
    <w:rsid w:val="00873193"/>
    <w:rsid w:val="00875581"/>
    <w:rsid w:val="00886AAC"/>
    <w:rsid w:val="00895B86"/>
    <w:rsid w:val="00896F4A"/>
    <w:rsid w:val="00896F59"/>
    <w:rsid w:val="008A0450"/>
    <w:rsid w:val="008A27CA"/>
    <w:rsid w:val="008A43B7"/>
    <w:rsid w:val="008A591C"/>
    <w:rsid w:val="008A7E84"/>
    <w:rsid w:val="008B0DC1"/>
    <w:rsid w:val="008B2FB7"/>
    <w:rsid w:val="008B6ACC"/>
    <w:rsid w:val="008C1498"/>
    <w:rsid w:val="008C5660"/>
    <w:rsid w:val="008C5A7B"/>
    <w:rsid w:val="008C7D15"/>
    <w:rsid w:val="008C7D67"/>
    <w:rsid w:val="008D1D66"/>
    <w:rsid w:val="008D4CE5"/>
    <w:rsid w:val="008D68D7"/>
    <w:rsid w:val="008E1D2A"/>
    <w:rsid w:val="008E3463"/>
    <w:rsid w:val="008F1A8C"/>
    <w:rsid w:val="008F3BA0"/>
    <w:rsid w:val="009017D0"/>
    <w:rsid w:val="009069DC"/>
    <w:rsid w:val="0091279F"/>
    <w:rsid w:val="00916345"/>
    <w:rsid w:val="00927EEF"/>
    <w:rsid w:val="00934F0F"/>
    <w:rsid w:val="0093677A"/>
    <w:rsid w:val="0094417D"/>
    <w:rsid w:val="00945553"/>
    <w:rsid w:val="00946128"/>
    <w:rsid w:val="00950875"/>
    <w:rsid w:val="009568B6"/>
    <w:rsid w:val="00965ACB"/>
    <w:rsid w:val="00965E7D"/>
    <w:rsid w:val="0097258C"/>
    <w:rsid w:val="00972A50"/>
    <w:rsid w:val="009853DA"/>
    <w:rsid w:val="0098560C"/>
    <w:rsid w:val="009876FD"/>
    <w:rsid w:val="009A200F"/>
    <w:rsid w:val="009A5562"/>
    <w:rsid w:val="009B0611"/>
    <w:rsid w:val="009B0EDA"/>
    <w:rsid w:val="009B6973"/>
    <w:rsid w:val="009C0AB6"/>
    <w:rsid w:val="009C3B89"/>
    <w:rsid w:val="009C73DA"/>
    <w:rsid w:val="009D5157"/>
    <w:rsid w:val="009E0186"/>
    <w:rsid w:val="009E3CC7"/>
    <w:rsid w:val="009E6FD3"/>
    <w:rsid w:val="009F5627"/>
    <w:rsid w:val="009F56B9"/>
    <w:rsid w:val="009F64FB"/>
    <w:rsid w:val="00A02B4C"/>
    <w:rsid w:val="00A05700"/>
    <w:rsid w:val="00A064D3"/>
    <w:rsid w:val="00A12DBD"/>
    <w:rsid w:val="00A17EA7"/>
    <w:rsid w:val="00A22A57"/>
    <w:rsid w:val="00A22D62"/>
    <w:rsid w:val="00A41DB4"/>
    <w:rsid w:val="00A44FB1"/>
    <w:rsid w:val="00A5043A"/>
    <w:rsid w:val="00A52752"/>
    <w:rsid w:val="00A5796F"/>
    <w:rsid w:val="00A57E00"/>
    <w:rsid w:val="00A61606"/>
    <w:rsid w:val="00A62B59"/>
    <w:rsid w:val="00A62F9C"/>
    <w:rsid w:val="00A656C0"/>
    <w:rsid w:val="00A707BD"/>
    <w:rsid w:val="00A813CD"/>
    <w:rsid w:val="00A8251D"/>
    <w:rsid w:val="00A85D20"/>
    <w:rsid w:val="00A87BA1"/>
    <w:rsid w:val="00A87FCE"/>
    <w:rsid w:val="00A90B28"/>
    <w:rsid w:val="00A914F8"/>
    <w:rsid w:val="00AA1A7A"/>
    <w:rsid w:val="00AA2ED0"/>
    <w:rsid w:val="00AB1C11"/>
    <w:rsid w:val="00AB230C"/>
    <w:rsid w:val="00AC749F"/>
    <w:rsid w:val="00AE3BB3"/>
    <w:rsid w:val="00AE3E2F"/>
    <w:rsid w:val="00AE5040"/>
    <w:rsid w:val="00B05F4A"/>
    <w:rsid w:val="00B075B0"/>
    <w:rsid w:val="00B1009F"/>
    <w:rsid w:val="00B22891"/>
    <w:rsid w:val="00B26EA2"/>
    <w:rsid w:val="00B34B96"/>
    <w:rsid w:val="00B35EE1"/>
    <w:rsid w:val="00B41F58"/>
    <w:rsid w:val="00B46D57"/>
    <w:rsid w:val="00B55C48"/>
    <w:rsid w:val="00B6001D"/>
    <w:rsid w:val="00B61914"/>
    <w:rsid w:val="00B70BAF"/>
    <w:rsid w:val="00B742C1"/>
    <w:rsid w:val="00B74C43"/>
    <w:rsid w:val="00B75411"/>
    <w:rsid w:val="00B810F9"/>
    <w:rsid w:val="00B847B0"/>
    <w:rsid w:val="00B91299"/>
    <w:rsid w:val="00B95F34"/>
    <w:rsid w:val="00BA0DD0"/>
    <w:rsid w:val="00BA2D08"/>
    <w:rsid w:val="00BA4329"/>
    <w:rsid w:val="00BA482E"/>
    <w:rsid w:val="00BA6F95"/>
    <w:rsid w:val="00BA7C2F"/>
    <w:rsid w:val="00BB1A3F"/>
    <w:rsid w:val="00BB458C"/>
    <w:rsid w:val="00BB4FF7"/>
    <w:rsid w:val="00BB7FC6"/>
    <w:rsid w:val="00BC1AA4"/>
    <w:rsid w:val="00BC1C78"/>
    <w:rsid w:val="00BC7AB1"/>
    <w:rsid w:val="00BD06F2"/>
    <w:rsid w:val="00BD06F3"/>
    <w:rsid w:val="00BD2BFB"/>
    <w:rsid w:val="00BD33BD"/>
    <w:rsid w:val="00BD3979"/>
    <w:rsid w:val="00BD561F"/>
    <w:rsid w:val="00BD7B21"/>
    <w:rsid w:val="00BE3ED3"/>
    <w:rsid w:val="00BF1235"/>
    <w:rsid w:val="00BF20C4"/>
    <w:rsid w:val="00BF2C72"/>
    <w:rsid w:val="00BF784B"/>
    <w:rsid w:val="00C01574"/>
    <w:rsid w:val="00C01D5D"/>
    <w:rsid w:val="00C0713B"/>
    <w:rsid w:val="00C07E5C"/>
    <w:rsid w:val="00C12AE2"/>
    <w:rsid w:val="00C15010"/>
    <w:rsid w:val="00C15C2E"/>
    <w:rsid w:val="00C208EF"/>
    <w:rsid w:val="00C20982"/>
    <w:rsid w:val="00C238B2"/>
    <w:rsid w:val="00C2749C"/>
    <w:rsid w:val="00C36C92"/>
    <w:rsid w:val="00C41999"/>
    <w:rsid w:val="00C43ADB"/>
    <w:rsid w:val="00C50216"/>
    <w:rsid w:val="00C52AC1"/>
    <w:rsid w:val="00C53470"/>
    <w:rsid w:val="00C57DA9"/>
    <w:rsid w:val="00C60D60"/>
    <w:rsid w:val="00C6470D"/>
    <w:rsid w:val="00C73325"/>
    <w:rsid w:val="00C75A01"/>
    <w:rsid w:val="00C766DF"/>
    <w:rsid w:val="00C80397"/>
    <w:rsid w:val="00C864FB"/>
    <w:rsid w:val="00C87A18"/>
    <w:rsid w:val="00C90BD7"/>
    <w:rsid w:val="00C941A6"/>
    <w:rsid w:val="00C95AF7"/>
    <w:rsid w:val="00C95DF4"/>
    <w:rsid w:val="00CA11F7"/>
    <w:rsid w:val="00CA4E19"/>
    <w:rsid w:val="00CB4B7C"/>
    <w:rsid w:val="00CC490A"/>
    <w:rsid w:val="00CC585D"/>
    <w:rsid w:val="00CD1F4E"/>
    <w:rsid w:val="00CD3949"/>
    <w:rsid w:val="00CD4AD0"/>
    <w:rsid w:val="00CE213B"/>
    <w:rsid w:val="00CE243A"/>
    <w:rsid w:val="00CE3FED"/>
    <w:rsid w:val="00CE71CB"/>
    <w:rsid w:val="00CF2B5D"/>
    <w:rsid w:val="00CF47B5"/>
    <w:rsid w:val="00D015F3"/>
    <w:rsid w:val="00D02F94"/>
    <w:rsid w:val="00D0390C"/>
    <w:rsid w:val="00D06D77"/>
    <w:rsid w:val="00D06E06"/>
    <w:rsid w:val="00D107FC"/>
    <w:rsid w:val="00D12678"/>
    <w:rsid w:val="00D13A28"/>
    <w:rsid w:val="00D24037"/>
    <w:rsid w:val="00D27F5E"/>
    <w:rsid w:val="00D31F27"/>
    <w:rsid w:val="00D32878"/>
    <w:rsid w:val="00D35505"/>
    <w:rsid w:val="00D4030F"/>
    <w:rsid w:val="00D42D06"/>
    <w:rsid w:val="00D43385"/>
    <w:rsid w:val="00D46F28"/>
    <w:rsid w:val="00D470C3"/>
    <w:rsid w:val="00D5289B"/>
    <w:rsid w:val="00D60920"/>
    <w:rsid w:val="00D64B99"/>
    <w:rsid w:val="00D71EAA"/>
    <w:rsid w:val="00D77C3F"/>
    <w:rsid w:val="00D80C9A"/>
    <w:rsid w:val="00D80D23"/>
    <w:rsid w:val="00D822F2"/>
    <w:rsid w:val="00D82764"/>
    <w:rsid w:val="00D97A4A"/>
    <w:rsid w:val="00DA0722"/>
    <w:rsid w:val="00DA2FE5"/>
    <w:rsid w:val="00DB354F"/>
    <w:rsid w:val="00DB5FBC"/>
    <w:rsid w:val="00DB799D"/>
    <w:rsid w:val="00DC2826"/>
    <w:rsid w:val="00DD4BF5"/>
    <w:rsid w:val="00DE6FDC"/>
    <w:rsid w:val="00DE7A1A"/>
    <w:rsid w:val="00DF0486"/>
    <w:rsid w:val="00DF3D0A"/>
    <w:rsid w:val="00DF5B29"/>
    <w:rsid w:val="00E02B00"/>
    <w:rsid w:val="00E04037"/>
    <w:rsid w:val="00E05E28"/>
    <w:rsid w:val="00E10D94"/>
    <w:rsid w:val="00E13C9B"/>
    <w:rsid w:val="00E147DE"/>
    <w:rsid w:val="00E14F71"/>
    <w:rsid w:val="00E1578F"/>
    <w:rsid w:val="00E27849"/>
    <w:rsid w:val="00E27986"/>
    <w:rsid w:val="00E50762"/>
    <w:rsid w:val="00E62D48"/>
    <w:rsid w:val="00E71677"/>
    <w:rsid w:val="00E71CA9"/>
    <w:rsid w:val="00E732AC"/>
    <w:rsid w:val="00E76AB4"/>
    <w:rsid w:val="00E80A76"/>
    <w:rsid w:val="00E810F6"/>
    <w:rsid w:val="00E87CAA"/>
    <w:rsid w:val="00E904BB"/>
    <w:rsid w:val="00E9573F"/>
    <w:rsid w:val="00E9609C"/>
    <w:rsid w:val="00EA12E7"/>
    <w:rsid w:val="00EA3466"/>
    <w:rsid w:val="00EB11F8"/>
    <w:rsid w:val="00EB257D"/>
    <w:rsid w:val="00EB5955"/>
    <w:rsid w:val="00EC2509"/>
    <w:rsid w:val="00EC56FD"/>
    <w:rsid w:val="00EC5E2E"/>
    <w:rsid w:val="00ED3164"/>
    <w:rsid w:val="00ED353D"/>
    <w:rsid w:val="00EE5E81"/>
    <w:rsid w:val="00EE74C8"/>
    <w:rsid w:val="00EF1FA6"/>
    <w:rsid w:val="00EF301B"/>
    <w:rsid w:val="00EF5A92"/>
    <w:rsid w:val="00F000CA"/>
    <w:rsid w:val="00F00B50"/>
    <w:rsid w:val="00F06462"/>
    <w:rsid w:val="00F1581A"/>
    <w:rsid w:val="00F15CD3"/>
    <w:rsid w:val="00F214CD"/>
    <w:rsid w:val="00F215DB"/>
    <w:rsid w:val="00F26607"/>
    <w:rsid w:val="00F3561D"/>
    <w:rsid w:val="00F35912"/>
    <w:rsid w:val="00F36FB8"/>
    <w:rsid w:val="00F4026E"/>
    <w:rsid w:val="00F44A76"/>
    <w:rsid w:val="00F524EF"/>
    <w:rsid w:val="00F55CC9"/>
    <w:rsid w:val="00F57BD3"/>
    <w:rsid w:val="00F640A7"/>
    <w:rsid w:val="00F64982"/>
    <w:rsid w:val="00F66929"/>
    <w:rsid w:val="00F66D6D"/>
    <w:rsid w:val="00F747C4"/>
    <w:rsid w:val="00F74BF7"/>
    <w:rsid w:val="00F76EA6"/>
    <w:rsid w:val="00F80252"/>
    <w:rsid w:val="00F81608"/>
    <w:rsid w:val="00F820C4"/>
    <w:rsid w:val="00F84DFD"/>
    <w:rsid w:val="00F91E10"/>
    <w:rsid w:val="00F93EC0"/>
    <w:rsid w:val="00F944CD"/>
    <w:rsid w:val="00F96595"/>
    <w:rsid w:val="00FA1FCB"/>
    <w:rsid w:val="00FA7D81"/>
    <w:rsid w:val="00FB0052"/>
    <w:rsid w:val="00FB2034"/>
    <w:rsid w:val="00FB31DF"/>
    <w:rsid w:val="00FB4817"/>
    <w:rsid w:val="00FB628B"/>
    <w:rsid w:val="00FD5614"/>
    <w:rsid w:val="00FD56DF"/>
    <w:rsid w:val="00FE13C4"/>
    <w:rsid w:val="00FE1433"/>
    <w:rsid w:val="00FE2162"/>
    <w:rsid w:val="00FE40D9"/>
    <w:rsid w:val="00FE53C3"/>
    <w:rsid w:val="00FE5DB7"/>
    <w:rsid w:val="00FE7A18"/>
    <w:rsid w:val="00FF3E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0681"/>
  <w15:chartTrackingRefBased/>
  <w15:docId w15:val="{F541877F-FDDC-4F59-B830-2E8900E1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7D15"/>
    <w:pPr>
      <w:jc w:val="both"/>
    </w:pPr>
    <w:rPr>
      <w:rFonts w:ascii="Roboto" w:hAnsi="Roboto"/>
      <w:sz w:val="21"/>
    </w:rPr>
  </w:style>
  <w:style w:type="paragraph" w:styleId="Pealkiri1">
    <w:name w:val="heading 1"/>
    <w:basedOn w:val="Normaallaad"/>
    <w:next w:val="Normaallaad"/>
    <w:link w:val="Pealkiri1Mrk"/>
    <w:uiPriority w:val="9"/>
    <w:qFormat/>
    <w:rsid w:val="00663E9A"/>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Pealkiri2">
    <w:name w:val="heading 2"/>
    <w:basedOn w:val="Pealkiri1"/>
    <w:next w:val="Normaallaad"/>
    <w:link w:val="Pealkiri2Mrk"/>
    <w:uiPriority w:val="9"/>
    <w:unhideWhenUsed/>
    <w:qFormat/>
    <w:rsid w:val="00663E9A"/>
    <w:pPr>
      <w:outlineLvl w:val="1"/>
    </w:pPr>
  </w:style>
  <w:style w:type="paragraph" w:styleId="Pealkiri3">
    <w:name w:val="heading 3"/>
    <w:basedOn w:val="Pealkiri2"/>
    <w:next w:val="Normaallaad"/>
    <w:link w:val="Pealkiri3Mrk"/>
    <w:uiPriority w:val="9"/>
    <w:unhideWhenUsed/>
    <w:qFormat/>
    <w:rsid w:val="008D4CE5"/>
    <w:pPr>
      <w:outlineLvl w:val="2"/>
    </w:pPr>
    <w:rPr>
      <w:sz w:val="28"/>
    </w:rPr>
  </w:style>
  <w:style w:type="paragraph" w:styleId="Pealkiri4">
    <w:name w:val="heading 4"/>
    <w:basedOn w:val="Normaallaad"/>
    <w:next w:val="Normaallaad"/>
    <w:link w:val="Pealkiri4Mrk"/>
    <w:uiPriority w:val="9"/>
    <w:unhideWhenUsed/>
    <w:qFormat/>
    <w:rsid w:val="00B70BAF"/>
    <w:pPr>
      <w:keepNext/>
      <w:keepLines/>
      <w:numPr>
        <w:ilvl w:val="3"/>
        <w:numId w:val="48"/>
      </w:numPr>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rsid w:val="00663E9A"/>
    <w:pPr>
      <w:outlineLvl w:val="4"/>
    </w:pPr>
  </w:style>
  <w:style w:type="paragraph" w:styleId="Pealkiri6">
    <w:name w:val="heading 6"/>
    <w:basedOn w:val="Normaallaad"/>
    <w:next w:val="Normaallaad"/>
    <w:link w:val="Pealkiri6Mrk"/>
    <w:uiPriority w:val="9"/>
    <w:semiHidden/>
    <w:unhideWhenUsed/>
    <w:qFormat/>
    <w:rsid w:val="00B70BAF"/>
    <w:pPr>
      <w:keepNext/>
      <w:keepLines/>
      <w:numPr>
        <w:ilvl w:val="5"/>
        <w:numId w:val="48"/>
      </w:numPr>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70BAF"/>
    <w:pPr>
      <w:keepNext/>
      <w:keepLines/>
      <w:numPr>
        <w:ilvl w:val="6"/>
        <w:numId w:val="48"/>
      </w:numPr>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70BAF"/>
    <w:pPr>
      <w:keepNext/>
      <w:keepLines/>
      <w:numPr>
        <w:ilvl w:val="7"/>
        <w:numId w:val="48"/>
      </w:numPr>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70BAF"/>
    <w:pPr>
      <w:keepNext/>
      <w:keepLines/>
      <w:numPr>
        <w:ilvl w:val="8"/>
        <w:numId w:val="48"/>
      </w:numPr>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63E9A"/>
    <w:rPr>
      <w:rFonts w:asciiTheme="majorHAnsi" w:eastAsiaTheme="majorEastAsia" w:hAnsiTheme="majorHAnsi" w:cstheme="majorBidi"/>
      <w:color w:val="0F4761" w:themeColor="accent1" w:themeShade="BF"/>
      <w:sz w:val="32"/>
      <w:szCs w:val="40"/>
    </w:rPr>
  </w:style>
  <w:style w:type="character" w:customStyle="1" w:styleId="Pealkiri2Mrk">
    <w:name w:val="Pealkiri 2 Märk"/>
    <w:basedOn w:val="Liguvaikefont"/>
    <w:link w:val="Pealkiri2"/>
    <w:uiPriority w:val="9"/>
    <w:rsid w:val="00663E9A"/>
    <w:rPr>
      <w:rFonts w:asciiTheme="majorHAnsi" w:eastAsiaTheme="majorEastAsia" w:hAnsiTheme="majorHAnsi" w:cstheme="majorBidi"/>
      <w:color w:val="0F4761" w:themeColor="accent1" w:themeShade="BF"/>
      <w:sz w:val="32"/>
      <w:szCs w:val="40"/>
    </w:rPr>
  </w:style>
  <w:style w:type="character" w:customStyle="1" w:styleId="Pealkiri3Mrk">
    <w:name w:val="Pealkiri 3 Märk"/>
    <w:basedOn w:val="Liguvaikefont"/>
    <w:link w:val="Pealkiri3"/>
    <w:uiPriority w:val="9"/>
    <w:rsid w:val="008D4CE5"/>
    <w:rPr>
      <w:rFonts w:asciiTheme="majorHAnsi" w:eastAsiaTheme="majorEastAsia" w:hAnsiTheme="majorHAnsi" w:cstheme="majorBidi"/>
      <w:color w:val="0F4761" w:themeColor="accent1" w:themeShade="BF"/>
      <w:sz w:val="28"/>
      <w:szCs w:val="40"/>
    </w:rPr>
  </w:style>
  <w:style w:type="character" w:customStyle="1" w:styleId="Pealkiri4Mrk">
    <w:name w:val="Pealkiri 4 Märk"/>
    <w:basedOn w:val="Liguvaikefont"/>
    <w:link w:val="Pealkiri4"/>
    <w:uiPriority w:val="9"/>
    <w:rsid w:val="00B70BA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rsid w:val="00663E9A"/>
    <w:rPr>
      <w:rFonts w:ascii="Roboto" w:hAnsi="Roboto"/>
      <w:sz w:val="21"/>
    </w:rPr>
  </w:style>
  <w:style w:type="character" w:customStyle="1" w:styleId="Pealkiri6Mrk">
    <w:name w:val="Pealkiri 6 Märk"/>
    <w:basedOn w:val="Liguvaikefont"/>
    <w:link w:val="Pealkiri6"/>
    <w:uiPriority w:val="9"/>
    <w:semiHidden/>
    <w:rsid w:val="00B70BA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70BA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70BA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70BA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7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70BA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70BA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70BA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70BAF"/>
    <w:pPr>
      <w:spacing w:before="160"/>
      <w:jc w:val="center"/>
    </w:pPr>
    <w:rPr>
      <w:i/>
      <w:iCs/>
      <w:color w:val="404040" w:themeColor="text1" w:themeTint="BF"/>
    </w:rPr>
  </w:style>
  <w:style w:type="character" w:customStyle="1" w:styleId="TsitaatMrk">
    <w:name w:val="Tsitaat Märk"/>
    <w:basedOn w:val="Liguvaikefont"/>
    <w:link w:val="Tsitaat"/>
    <w:uiPriority w:val="29"/>
    <w:rsid w:val="00B70BAF"/>
    <w:rPr>
      <w:i/>
      <w:iCs/>
      <w:color w:val="404040" w:themeColor="text1" w:themeTint="BF"/>
    </w:rPr>
  </w:style>
  <w:style w:type="paragraph" w:styleId="Loendilik">
    <w:name w:val="List Paragraph"/>
    <w:basedOn w:val="Normaallaad"/>
    <w:uiPriority w:val="34"/>
    <w:qFormat/>
    <w:rsid w:val="00B70BAF"/>
    <w:pPr>
      <w:ind w:left="720"/>
      <w:contextualSpacing/>
    </w:pPr>
  </w:style>
  <w:style w:type="character" w:styleId="Selgeltmrgatavrhutus">
    <w:name w:val="Intense Emphasis"/>
    <w:basedOn w:val="Liguvaikefont"/>
    <w:uiPriority w:val="21"/>
    <w:qFormat/>
    <w:rsid w:val="00B70BAF"/>
    <w:rPr>
      <w:i/>
      <w:iCs/>
      <w:color w:val="0F4761" w:themeColor="accent1" w:themeShade="BF"/>
    </w:rPr>
  </w:style>
  <w:style w:type="paragraph" w:styleId="Selgeltmrgatavtsitaat">
    <w:name w:val="Intense Quote"/>
    <w:basedOn w:val="Normaallaad"/>
    <w:next w:val="Normaallaad"/>
    <w:link w:val="SelgeltmrgatavtsitaatMrk"/>
    <w:uiPriority w:val="30"/>
    <w:qFormat/>
    <w:rsid w:val="00B7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70BAF"/>
    <w:rPr>
      <w:i/>
      <w:iCs/>
      <w:color w:val="0F4761" w:themeColor="accent1" w:themeShade="BF"/>
    </w:rPr>
  </w:style>
  <w:style w:type="character" w:styleId="Selgeltmrgatavviide">
    <w:name w:val="Intense Reference"/>
    <w:basedOn w:val="Liguvaikefont"/>
    <w:uiPriority w:val="32"/>
    <w:qFormat/>
    <w:rsid w:val="00B70BAF"/>
    <w:rPr>
      <w:b/>
      <w:bCs/>
      <w:smallCaps/>
      <w:color w:val="0F4761" w:themeColor="accent1" w:themeShade="BF"/>
      <w:spacing w:val="5"/>
    </w:rPr>
  </w:style>
  <w:style w:type="character" w:styleId="Hperlink">
    <w:name w:val="Hyperlink"/>
    <w:basedOn w:val="Liguvaikefont"/>
    <w:uiPriority w:val="99"/>
    <w:unhideWhenUsed/>
    <w:rsid w:val="00B70BAF"/>
    <w:rPr>
      <w:color w:val="467886" w:themeColor="hyperlink"/>
      <w:u w:val="single"/>
    </w:rPr>
  </w:style>
  <w:style w:type="character" w:styleId="Lahendamatamainimine">
    <w:name w:val="Unresolved Mention"/>
    <w:basedOn w:val="Liguvaikefont"/>
    <w:uiPriority w:val="99"/>
    <w:semiHidden/>
    <w:unhideWhenUsed/>
    <w:rsid w:val="00B70BAF"/>
    <w:rPr>
      <w:color w:val="605E5C"/>
      <w:shd w:val="clear" w:color="auto" w:fill="E1DFDD"/>
    </w:rPr>
  </w:style>
  <w:style w:type="character" w:styleId="Tugev">
    <w:name w:val="Strong"/>
    <w:basedOn w:val="Liguvaikefont"/>
    <w:uiPriority w:val="22"/>
    <w:qFormat/>
    <w:rsid w:val="00886AAC"/>
    <w:rPr>
      <w:rFonts w:ascii="Roboto" w:hAnsi="Roboto"/>
      <w:b/>
      <w:bCs/>
      <w:color w:val="153D63" w:themeColor="text2" w:themeTint="E6"/>
      <w:sz w:val="21"/>
    </w:rPr>
  </w:style>
  <w:style w:type="paragraph" w:styleId="Sisukorrapealkiri">
    <w:name w:val="TOC Heading"/>
    <w:basedOn w:val="Pealkiri1"/>
    <w:next w:val="Normaallaad"/>
    <w:uiPriority w:val="39"/>
    <w:unhideWhenUsed/>
    <w:qFormat/>
    <w:rsid w:val="00746625"/>
    <w:pPr>
      <w:spacing w:before="240" w:after="0" w:line="259" w:lineRule="auto"/>
      <w:outlineLvl w:val="9"/>
    </w:pPr>
    <w:rPr>
      <w:kern w:val="0"/>
      <w:szCs w:val="32"/>
      <w:lang w:eastAsia="et-EE"/>
      <w14:ligatures w14:val="none"/>
    </w:rPr>
  </w:style>
  <w:style w:type="paragraph" w:styleId="SK1">
    <w:name w:val="toc 1"/>
    <w:basedOn w:val="Normaallaad"/>
    <w:next w:val="Normaallaad"/>
    <w:autoRedefine/>
    <w:uiPriority w:val="39"/>
    <w:unhideWhenUsed/>
    <w:rsid w:val="00746625"/>
    <w:pPr>
      <w:spacing w:after="100"/>
    </w:pPr>
  </w:style>
  <w:style w:type="paragraph" w:styleId="SK2">
    <w:name w:val="toc 2"/>
    <w:basedOn w:val="Normaallaad"/>
    <w:next w:val="Normaallaad"/>
    <w:autoRedefine/>
    <w:uiPriority w:val="39"/>
    <w:unhideWhenUsed/>
    <w:rsid w:val="00746625"/>
    <w:pPr>
      <w:spacing w:after="100"/>
      <w:ind w:left="240"/>
    </w:pPr>
  </w:style>
  <w:style w:type="paragraph" w:customStyle="1" w:styleId="msonormal0">
    <w:name w:val="msonormal"/>
    <w:basedOn w:val="Normaallaad"/>
    <w:rsid w:val="00334024"/>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Normaallaadveeb">
    <w:name w:val="Normal (Web)"/>
    <w:basedOn w:val="Normaallaad"/>
    <w:uiPriority w:val="99"/>
    <w:semiHidden/>
    <w:unhideWhenUsed/>
    <w:rsid w:val="00334024"/>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math">
    <w:name w:val="math"/>
    <w:basedOn w:val="Liguvaikefont"/>
    <w:rsid w:val="00334024"/>
  </w:style>
  <w:style w:type="character" w:customStyle="1" w:styleId="mathjaxpreview">
    <w:name w:val="mathjax_preview"/>
    <w:basedOn w:val="Liguvaikefont"/>
    <w:rsid w:val="00334024"/>
  </w:style>
  <w:style w:type="character" w:customStyle="1" w:styleId="mathjax">
    <w:name w:val="mathjax"/>
    <w:basedOn w:val="Liguvaikefont"/>
    <w:rsid w:val="00334024"/>
  </w:style>
  <w:style w:type="character" w:customStyle="1" w:styleId="mrow">
    <w:name w:val="mrow"/>
    <w:basedOn w:val="Liguvaikefont"/>
    <w:rsid w:val="00334024"/>
  </w:style>
  <w:style w:type="character" w:customStyle="1" w:styleId="mi">
    <w:name w:val="mi"/>
    <w:basedOn w:val="Liguvaikefont"/>
    <w:rsid w:val="00334024"/>
  </w:style>
  <w:style w:type="character" w:customStyle="1" w:styleId="texatom">
    <w:name w:val="texatom"/>
    <w:basedOn w:val="Liguvaikefont"/>
    <w:rsid w:val="00334024"/>
  </w:style>
  <w:style w:type="character" w:customStyle="1" w:styleId="mo">
    <w:name w:val="mo"/>
    <w:basedOn w:val="Liguvaikefont"/>
    <w:rsid w:val="00334024"/>
  </w:style>
  <w:style w:type="character" w:customStyle="1" w:styleId="mjxassistivemathml">
    <w:name w:val="mjx_assistive_mathml"/>
    <w:basedOn w:val="Liguvaikefont"/>
    <w:rsid w:val="00334024"/>
  </w:style>
  <w:style w:type="character" w:customStyle="1" w:styleId="mtext">
    <w:name w:val="mtext"/>
    <w:basedOn w:val="Liguvaikefont"/>
    <w:rsid w:val="00334024"/>
  </w:style>
  <w:style w:type="character" w:customStyle="1" w:styleId="msubsup">
    <w:name w:val="msubsup"/>
    <w:basedOn w:val="Liguvaikefont"/>
    <w:rsid w:val="00334024"/>
  </w:style>
  <w:style w:type="character" w:customStyle="1" w:styleId="mn">
    <w:name w:val="mn"/>
    <w:basedOn w:val="Liguvaikefont"/>
    <w:rsid w:val="00334024"/>
  </w:style>
  <w:style w:type="character" w:customStyle="1" w:styleId="mfrac">
    <w:name w:val="mfrac"/>
    <w:basedOn w:val="Liguvaikefont"/>
    <w:rsid w:val="00334024"/>
  </w:style>
  <w:style w:type="character" w:styleId="Klastatudhperlink">
    <w:name w:val="FollowedHyperlink"/>
    <w:basedOn w:val="Liguvaikefont"/>
    <w:uiPriority w:val="99"/>
    <w:semiHidden/>
    <w:unhideWhenUsed/>
    <w:rsid w:val="00334024"/>
    <w:rPr>
      <w:color w:val="800080"/>
      <w:u w:val="single"/>
    </w:rPr>
  </w:style>
  <w:style w:type="paragraph" w:customStyle="1" w:styleId="Pealdis1">
    <w:name w:val="Pealdis1"/>
    <w:basedOn w:val="Normaallaad"/>
    <w:rsid w:val="00334024"/>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SK3">
    <w:name w:val="toc 3"/>
    <w:basedOn w:val="Normaallaad"/>
    <w:next w:val="Normaallaad"/>
    <w:autoRedefine/>
    <w:uiPriority w:val="39"/>
    <w:unhideWhenUsed/>
    <w:rsid w:val="003615B3"/>
    <w:pPr>
      <w:spacing w:after="100"/>
      <w:ind w:left="440"/>
    </w:pPr>
  </w:style>
  <w:style w:type="paragraph" w:styleId="Redaktsioon">
    <w:name w:val="Revision"/>
    <w:hidden/>
    <w:uiPriority w:val="99"/>
    <w:semiHidden/>
    <w:rsid w:val="00BB4FF7"/>
    <w:pPr>
      <w:spacing w:after="0" w:line="240" w:lineRule="auto"/>
    </w:pPr>
    <w:rPr>
      <w:rFonts w:ascii="Roboto" w:hAnsi="Roboto"/>
      <w:sz w:val="22"/>
    </w:rPr>
  </w:style>
  <w:style w:type="character" w:styleId="Kommentaariviide">
    <w:name w:val="annotation reference"/>
    <w:basedOn w:val="Liguvaikefont"/>
    <w:uiPriority w:val="99"/>
    <w:semiHidden/>
    <w:unhideWhenUsed/>
    <w:rsid w:val="00DF0486"/>
    <w:rPr>
      <w:sz w:val="16"/>
      <w:szCs w:val="16"/>
    </w:rPr>
  </w:style>
  <w:style w:type="paragraph" w:styleId="Kommentaaritekst">
    <w:name w:val="annotation text"/>
    <w:basedOn w:val="Normaallaad"/>
    <w:link w:val="KommentaaritekstMrk"/>
    <w:uiPriority w:val="99"/>
    <w:unhideWhenUsed/>
    <w:rsid w:val="00DF0486"/>
    <w:pPr>
      <w:spacing w:line="240" w:lineRule="auto"/>
    </w:pPr>
    <w:rPr>
      <w:sz w:val="20"/>
      <w:szCs w:val="20"/>
    </w:rPr>
  </w:style>
  <w:style w:type="character" w:customStyle="1" w:styleId="KommentaaritekstMrk">
    <w:name w:val="Kommentaari tekst Märk"/>
    <w:basedOn w:val="Liguvaikefont"/>
    <w:link w:val="Kommentaaritekst"/>
    <w:uiPriority w:val="99"/>
    <w:rsid w:val="00DF0486"/>
    <w:rPr>
      <w:rFonts w:ascii="Roboto" w:hAnsi="Roboto"/>
      <w:sz w:val="20"/>
      <w:szCs w:val="20"/>
    </w:rPr>
  </w:style>
  <w:style w:type="paragraph" w:styleId="Kommentaariteema">
    <w:name w:val="annotation subject"/>
    <w:basedOn w:val="Kommentaaritekst"/>
    <w:next w:val="Kommentaaritekst"/>
    <w:link w:val="KommentaariteemaMrk"/>
    <w:uiPriority w:val="99"/>
    <w:semiHidden/>
    <w:unhideWhenUsed/>
    <w:rsid w:val="00DF0486"/>
    <w:rPr>
      <w:b/>
      <w:bCs/>
    </w:rPr>
  </w:style>
  <w:style w:type="character" w:customStyle="1" w:styleId="KommentaariteemaMrk">
    <w:name w:val="Kommentaari teema Märk"/>
    <w:basedOn w:val="KommentaaritekstMrk"/>
    <w:link w:val="Kommentaariteema"/>
    <w:uiPriority w:val="99"/>
    <w:semiHidden/>
    <w:rsid w:val="00DF0486"/>
    <w:rPr>
      <w:rFonts w:ascii="Roboto" w:hAnsi="Roboto"/>
      <w:b/>
      <w:bCs/>
      <w:sz w:val="20"/>
      <w:szCs w:val="20"/>
    </w:rPr>
  </w:style>
  <w:style w:type="table" w:styleId="Tavatabel1">
    <w:name w:val="Plain Table 1"/>
    <w:basedOn w:val="Normaaltabel"/>
    <w:uiPriority w:val="41"/>
    <w:rsid w:val="004A0418"/>
    <w:pPr>
      <w:spacing w:after="0" w:line="240" w:lineRule="auto"/>
    </w:pPr>
    <w:rPr>
      <w:rFonts w:ascii="Roboto" w:hAnsi="Roboto"/>
      <w:sz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ontuurtabel">
    <w:name w:val="Table Grid"/>
    <w:basedOn w:val="Normaaltabel"/>
    <w:uiPriority w:val="59"/>
    <w:rsid w:val="004A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ad1">
    <w:name w:val="Laad1"/>
    <w:basedOn w:val="Normaaltabel"/>
    <w:uiPriority w:val="99"/>
    <w:rsid w:val="00741C26"/>
    <w:pPr>
      <w:spacing w:after="0" w:line="240" w:lineRule="auto"/>
    </w:pPr>
    <w:tblPr/>
  </w:style>
  <w:style w:type="table" w:customStyle="1" w:styleId="Tabelilaad">
    <w:name w:val="Tabeli laad"/>
    <w:basedOn w:val="Normaaltabel"/>
    <w:uiPriority w:val="99"/>
    <w:rsid w:val="00C57DA9"/>
    <w:pPr>
      <w:spacing w:after="0" w:line="240" w:lineRule="auto"/>
    </w:pPr>
    <w:rPr>
      <w:rFonts w:ascii="Roboto" w:hAnsi="Roboto"/>
      <w:sz w:val="21"/>
    </w:rPr>
    <w:tblPr>
      <w:tblBorders>
        <w:top w:val="single" w:sz="4" w:space="0" w:color="0072BF"/>
        <w:bottom w:val="single" w:sz="4" w:space="0" w:color="0072BF"/>
        <w:insideH w:val="single" w:sz="4" w:space="0" w:color="0072BF"/>
      </w:tblBorders>
    </w:tblPr>
    <w:tblStylePr w:type="firstRow">
      <w:rPr>
        <w:rFonts w:ascii="Roboto" w:hAnsi="Roboto"/>
        <w:b/>
        <w:color w:val="FFFFFF" w:themeColor="background1"/>
        <w:sz w:val="20"/>
      </w:rPr>
      <w:tblPr/>
      <w:tcPr>
        <w:tcBorders>
          <w:top w:val="nil"/>
          <w:left w:val="nil"/>
          <w:bottom w:val="nil"/>
          <w:right w:val="nil"/>
          <w:insideH w:val="nil"/>
          <w:insideV w:val="nil"/>
          <w:tl2br w:val="nil"/>
          <w:tr2bl w:val="nil"/>
        </w:tcBorders>
        <w:shd w:val="clear" w:color="auto" w:fill="0072BF"/>
      </w:tcPr>
    </w:tblStylePr>
  </w:style>
  <w:style w:type="paragraph" w:styleId="Allmrkusetekst">
    <w:name w:val="footnote text"/>
    <w:basedOn w:val="Normaallaad"/>
    <w:link w:val="AllmrkusetekstMrk"/>
    <w:uiPriority w:val="99"/>
    <w:semiHidden/>
    <w:unhideWhenUsed/>
    <w:rsid w:val="0021632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16328"/>
    <w:rPr>
      <w:rFonts w:ascii="Roboto" w:hAnsi="Roboto"/>
      <w:sz w:val="20"/>
      <w:szCs w:val="20"/>
    </w:rPr>
  </w:style>
  <w:style w:type="character" w:styleId="Allmrkuseviide">
    <w:name w:val="footnote reference"/>
    <w:basedOn w:val="Liguvaikefont"/>
    <w:uiPriority w:val="99"/>
    <w:semiHidden/>
    <w:unhideWhenUsed/>
    <w:rsid w:val="00216328"/>
    <w:rPr>
      <w:vertAlign w:val="superscript"/>
    </w:rPr>
  </w:style>
  <w:style w:type="paragraph" w:styleId="Vahedeta">
    <w:name w:val="No Spacing"/>
    <w:uiPriority w:val="1"/>
    <w:qFormat/>
    <w:rsid w:val="00BE3ED3"/>
    <w:pPr>
      <w:spacing w:after="0" w:line="240" w:lineRule="auto"/>
      <w:jc w:val="both"/>
    </w:pPr>
    <w:rPr>
      <w:rFonts w:ascii="Roboto" w:hAnsi="Roboto"/>
      <w:sz w:val="21"/>
    </w:rPr>
  </w:style>
  <w:style w:type="character" w:styleId="Raamatupealkiri">
    <w:name w:val="Book Title"/>
    <w:basedOn w:val="Liguvaikefont"/>
    <w:uiPriority w:val="33"/>
    <w:qFormat/>
    <w:rsid w:val="0017361B"/>
    <w:rPr>
      <w:b/>
      <w:bCs/>
      <w:i/>
      <w:iCs/>
      <w:spacing w:val="5"/>
    </w:rPr>
  </w:style>
  <w:style w:type="paragraph" w:customStyle="1" w:styleId="Allikas">
    <w:name w:val="Allikas:"/>
    <w:basedOn w:val="Normaallaad"/>
    <w:qFormat/>
    <w:rsid w:val="008D4CE5"/>
    <w:rPr>
      <w:i/>
      <w:sz w:val="18"/>
      <w:szCs w:val="21"/>
    </w:rPr>
  </w:style>
  <w:style w:type="paragraph" w:styleId="Pis">
    <w:name w:val="header"/>
    <w:basedOn w:val="Normaallaad"/>
    <w:link w:val="PisMrk"/>
    <w:uiPriority w:val="99"/>
    <w:unhideWhenUsed/>
    <w:rsid w:val="00CD1F4E"/>
    <w:pPr>
      <w:tabs>
        <w:tab w:val="center" w:pos="4536"/>
        <w:tab w:val="right" w:pos="9072"/>
      </w:tabs>
      <w:spacing w:after="0" w:line="240" w:lineRule="auto"/>
    </w:pPr>
  </w:style>
  <w:style w:type="character" w:customStyle="1" w:styleId="PisMrk">
    <w:name w:val="Päis Märk"/>
    <w:basedOn w:val="Liguvaikefont"/>
    <w:link w:val="Pis"/>
    <w:uiPriority w:val="99"/>
    <w:rsid w:val="00CD1F4E"/>
    <w:rPr>
      <w:rFonts w:ascii="Roboto" w:hAnsi="Roboto"/>
      <w:sz w:val="21"/>
    </w:rPr>
  </w:style>
  <w:style w:type="paragraph" w:styleId="Jalus">
    <w:name w:val="footer"/>
    <w:basedOn w:val="Normaallaad"/>
    <w:link w:val="JalusMrk"/>
    <w:uiPriority w:val="99"/>
    <w:unhideWhenUsed/>
    <w:rsid w:val="00CD1F4E"/>
    <w:pPr>
      <w:tabs>
        <w:tab w:val="center" w:pos="4536"/>
        <w:tab w:val="right" w:pos="9072"/>
      </w:tabs>
      <w:spacing w:after="0" w:line="240" w:lineRule="auto"/>
    </w:pPr>
  </w:style>
  <w:style w:type="character" w:customStyle="1" w:styleId="JalusMrk">
    <w:name w:val="Jalus Märk"/>
    <w:basedOn w:val="Liguvaikefont"/>
    <w:link w:val="Jalus"/>
    <w:uiPriority w:val="99"/>
    <w:rsid w:val="00CD1F4E"/>
    <w:rPr>
      <w:rFonts w:ascii="Roboto" w:hAnsi="Robo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815">
      <w:bodyDiv w:val="1"/>
      <w:marLeft w:val="0"/>
      <w:marRight w:val="0"/>
      <w:marTop w:val="0"/>
      <w:marBottom w:val="0"/>
      <w:divBdr>
        <w:top w:val="none" w:sz="0" w:space="0" w:color="auto"/>
        <w:left w:val="none" w:sz="0" w:space="0" w:color="auto"/>
        <w:bottom w:val="none" w:sz="0" w:space="0" w:color="auto"/>
        <w:right w:val="none" w:sz="0" w:space="0" w:color="auto"/>
      </w:divBdr>
    </w:div>
    <w:div w:id="389038969">
      <w:bodyDiv w:val="1"/>
      <w:marLeft w:val="0"/>
      <w:marRight w:val="0"/>
      <w:marTop w:val="0"/>
      <w:marBottom w:val="0"/>
      <w:divBdr>
        <w:top w:val="none" w:sz="0" w:space="0" w:color="auto"/>
        <w:left w:val="none" w:sz="0" w:space="0" w:color="auto"/>
        <w:bottom w:val="none" w:sz="0" w:space="0" w:color="auto"/>
        <w:right w:val="none" w:sz="0" w:space="0" w:color="auto"/>
      </w:divBdr>
      <w:divsChild>
        <w:div w:id="94910814">
          <w:marLeft w:val="0"/>
          <w:marRight w:val="0"/>
          <w:marTop w:val="0"/>
          <w:marBottom w:val="0"/>
          <w:divBdr>
            <w:top w:val="none" w:sz="0" w:space="0" w:color="auto"/>
            <w:left w:val="none" w:sz="0" w:space="0" w:color="auto"/>
            <w:bottom w:val="none" w:sz="0" w:space="0" w:color="auto"/>
            <w:right w:val="none" w:sz="0" w:space="0" w:color="auto"/>
          </w:divBdr>
        </w:div>
        <w:div w:id="914558027">
          <w:marLeft w:val="0"/>
          <w:marRight w:val="0"/>
          <w:marTop w:val="0"/>
          <w:marBottom w:val="0"/>
          <w:divBdr>
            <w:top w:val="none" w:sz="0" w:space="0" w:color="auto"/>
            <w:left w:val="none" w:sz="0" w:space="0" w:color="auto"/>
            <w:bottom w:val="none" w:sz="0" w:space="0" w:color="auto"/>
            <w:right w:val="none" w:sz="0" w:space="0" w:color="auto"/>
          </w:divBdr>
        </w:div>
        <w:div w:id="706030907">
          <w:marLeft w:val="0"/>
          <w:marRight w:val="0"/>
          <w:marTop w:val="0"/>
          <w:marBottom w:val="0"/>
          <w:divBdr>
            <w:top w:val="none" w:sz="0" w:space="0" w:color="auto"/>
            <w:left w:val="none" w:sz="0" w:space="0" w:color="auto"/>
            <w:bottom w:val="none" w:sz="0" w:space="0" w:color="auto"/>
            <w:right w:val="none" w:sz="0" w:space="0" w:color="auto"/>
          </w:divBdr>
          <w:divsChild>
            <w:div w:id="1204556420">
              <w:marLeft w:val="0"/>
              <w:marRight w:val="0"/>
              <w:marTop w:val="240"/>
              <w:marBottom w:val="240"/>
              <w:divBdr>
                <w:top w:val="none" w:sz="0" w:space="0" w:color="auto"/>
                <w:left w:val="none" w:sz="0" w:space="0" w:color="auto"/>
                <w:bottom w:val="none" w:sz="0" w:space="0" w:color="auto"/>
                <w:right w:val="none" w:sz="0" w:space="0" w:color="auto"/>
              </w:divBdr>
            </w:div>
            <w:div w:id="1434664799">
              <w:marLeft w:val="0"/>
              <w:marRight w:val="0"/>
              <w:marTop w:val="240"/>
              <w:marBottom w:val="240"/>
              <w:divBdr>
                <w:top w:val="none" w:sz="0" w:space="0" w:color="auto"/>
                <w:left w:val="none" w:sz="0" w:space="0" w:color="auto"/>
                <w:bottom w:val="none" w:sz="0" w:space="0" w:color="auto"/>
                <w:right w:val="none" w:sz="0" w:space="0" w:color="auto"/>
              </w:divBdr>
            </w:div>
            <w:div w:id="1211652211">
              <w:marLeft w:val="0"/>
              <w:marRight w:val="0"/>
              <w:marTop w:val="240"/>
              <w:marBottom w:val="240"/>
              <w:divBdr>
                <w:top w:val="none" w:sz="0" w:space="0" w:color="auto"/>
                <w:left w:val="none" w:sz="0" w:space="0" w:color="auto"/>
                <w:bottom w:val="none" w:sz="0" w:space="0" w:color="auto"/>
                <w:right w:val="none" w:sz="0" w:space="0" w:color="auto"/>
              </w:divBdr>
            </w:div>
            <w:div w:id="1451973686">
              <w:marLeft w:val="0"/>
              <w:marRight w:val="0"/>
              <w:marTop w:val="240"/>
              <w:marBottom w:val="240"/>
              <w:divBdr>
                <w:top w:val="none" w:sz="0" w:space="0" w:color="auto"/>
                <w:left w:val="none" w:sz="0" w:space="0" w:color="auto"/>
                <w:bottom w:val="none" w:sz="0" w:space="0" w:color="auto"/>
                <w:right w:val="none" w:sz="0" w:space="0" w:color="auto"/>
              </w:divBdr>
            </w:div>
          </w:divsChild>
        </w:div>
        <w:div w:id="1854953800">
          <w:marLeft w:val="0"/>
          <w:marRight w:val="0"/>
          <w:marTop w:val="0"/>
          <w:marBottom w:val="0"/>
          <w:divBdr>
            <w:top w:val="none" w:sz="0" w:space="0" w:color="auto"/>
            <w:left w:val="none" w:sz="0" w:space="0" w:color="auto"/>
            <w:bottom w:val="none" w:sz="0" w:space="0" w:color="auto"/>
            <w:right w:val="none" w:sz="0" w:space="0" w:color="auto"/>
          </w:divBdr>
          <w:divsChild>
            <w:div w:id="86775934">
              <w:marLeft w:val="0"/>
              <w:marRight w:val="0"/>
              <w:marTop w:val="0"/>
              <w:marBottom w:val="0"/>
              <w:divBdr>
                <w:top w:val="none" w:sz="0" w:space="0" w:color="auto"/>
                <w:left w:val="none" w:sz="0" w:space="0" w:color="auto"/>
                <w:bottom w:val="none" w:sz="0" w:space="0" w:color="auto"/>
                <w:right w:val="none" w:sz="0" w:space="0" w:color="auto"/>
              </w:divBdr>
            </w:div>
            <w:div w:id="753084685">
              <w:marLeft w:val="0"/>
              <w:marRight w:val="0"/>
              <w:marTop w:val="0"/>
              <w:marBottom w:val="0"/>
              <w:divBdr>
                <w:top w:val="none" w:sz="0" w:space="0" w:color="auto"/>
                <w:left w:val="none" w:sz="0" w:space="0" w:color="auto"/>
                <w:bottom w:val="none" w:sz="0" w:space="0" w:color="auto"/>
                <w:right w:val="none" w:sz="0" w:space="0" w:color="auto"/>
              </w:divBdr>
              <w:divsChild>
                <w:div w:id="1864635498">
                  <w:marLeft w:val="-225"/>
                  <w:marRight w:val="-225"/>
                  <w:marTop w:val="0"/>
                  <w:marBottom w:val="0"/>
                  <w:divBdr>
                    <w:top w:val="none" w:sz="0" w:space="0" w:color="auto"/>
                    <w:left w:val="none" w:sz="0" w:space="0" w:color="auto"/>
                    <w:bottom w:val="none" w:sz="0" w:space="0" w:color="auto"/>
                    <w:right w:val="none" w:sz="0" w:space="0" w:color="auto"/>
                  </w:divBdr>
                  <w:divsChild>
                    <w:div w:id="1260529139">
                      <w:marLeft w:val="0"/>
                      <w:marRight w:val="0"/>
                      <w:marTop w:val="0"/>
                      <w:marBottom w:val="0"/>
                      <w:divBdr>
                        <w:top w:val="none" w:sz="0" w:space="0" w:color="auto"/>
                        <w:left w:val="none" w:sz="0" w:space="0" w:color="auto"/>
                        <w:bottom w:val="none" w:sz="0" w:space="0" w:color="auto"/>
                        <w:right w:val="none" w:sz="0" w:space="0" w:color="auto"/>
                      </w:divBdr>
                    </w:div>
                  </w:divsChild>
                </w:div>
                <w:div w:id="1184854757">
                  <w:marLeft w:val="0"/>
                  <w:marRight w:val="0"/>
                  <w:marTop w:val="0"/>
                  <w:marBottom w:val="0"/>
                  <w:divBdr>
                    <w:top w:val="none" w:sz="0" w:space="0" w:color="auto"/>
                    <w:left w:val="none" w:sz="0" w:space="0" w:color="auto"/>
                    <w:bottom w:val="none" w:sz="0" w:space="0" w:color="auto"/>
                    <w:right w:val="none" w:sz="0" w:space="0" w:color="auto"/>
                  </w:divBdr>
                </w:div>
                <w:div w:id="1932548235">
                  <w:marLeft w:val="-225"/>
                  <w:marRight w:val="-225"/>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
                  </w:divsChild>
                </w:div>
                <w:div w:id="983463782">
                  <w:marLeft w:val="-225"/>
                  <w:marRight w:val="-225"/>
                  <w:marTop w:val="0"/>
                  <w:marBottom w:val="0"/>
                  <w:divBdr>
                    <w:top w:val="none" w:sz="0" w:space="0" w:color="auto"/>
                    <w:left w:val="none" w:sz="0" w:space="0" w:color="auto"/>
                    <w:bottom w:val="none" w:sz="0" w:space="0" w:color="auto"/>
                    <w:right w:val="none" w:sz="0" w:space="0" w:color="auto"/>
                  </w:divBdr>
                  <w:divsChild>
                    <w:div w:id="234626982">
                      <w:marLeft w:val="0"/>
                      <w:marRight w:val="0"/>
                      <w:marTop w:val="0"/>
                      <w:marBottom w:val="0"/>
                      <w:divBdr>
                        <w:top w:val="none" w:sz="0" w:space="0" w:color="auto"/>
                        <w:left w:val="none" w:sz="0" w:space="0" w:color="auto"/>
                        <w:bottom w:val="none" w:sz="0" w:space="0" w:color="auto"/>
                        <w:right w:val="none" w:sz="0" w:space="0" w:color="auto"/>
                      </w:divBdr>
                    </w:div>
                  </w:divsChild>
                </w:div>
                <w:div w:id="498035229">
                  <w:marLeft w:val="0"/>
                  <w:marRight w:val="0"/>
                  <w:marTop w:val="0"/>
                  <w:marBottom w:val="0"/>
                  <w:divBdr>
                    <w:top w:val="none" w:sz="0" w:space="0" w:color="auto"/>
                    <w:left w:val="none" w:sz="0" w:space="0" w:color="auto"/>
                    <w:bottom w:val="none" w:sz="0" w:space="0" w:color="auto"/>
                    <w:right w:val="none" w:sz="0" w:space="0" w:color="auto"/>
                  </w:divBdr>
                </w:div>
                <w:div w:id="287319516">
                  <w:marLeft w:val="-225"/>
                  <w:marRight w:val="-225"/>
                  <w:marTop w:val="0"/>
                  <w:marBottom w:val="0"/>
                  <w:divBdr>
                    <w:top w:val="none" w:sz="0" w:space="0" w:color="auto"/>
                    <w:left w:val="none" w:sz="0" w:space="0" w:color="auto"/>
                    <w:bottom w:val="none" w:sz="0" w:space="0" w:color="auto"/>
                    <w:right w:val="none" w:sz="0" w:space="0" w:color="auto"/>
                  </w:divBdr>
                  <w:divsChild>
                    <w:div w:id="1933391022">
                      <w:marLeft w:val="0"/>
                      <w:marRight w:val="0"/>
                      <w:marTop w:val="0"/>
                      <w:marBottom w:val="0"/>
                      <w:divBdr>
                        <w:top w:val="none" w:sz="0" w:space="0" w:color="auto"/>
                        <w:left w:val="none" w:sz="0" w:space="0" w:color="auto"/>
                        <w:bottom w:val="none" w:sz="0" w:space="0" w:color="auto"/>
                        <w:right w:val="none" w:sz="0" w:space="0" w:color="auto"/>
                      </w:divBdr>
                    </w:div>
                  </w:divsChild>
                </w:div>
                <w:div w:id="1561206571">
                  <w:marLeft w:val="-225"/>
                  <w:marRight w:val="-225"/>
                  <w:marTop w:val="0"/>
                  <w:marBottom w:val="0"/>
                  <w:divBdr>
                    <w:top w:val="none" w:sz="0" w:space="0" w:color="auto"/>
                    <w:left w:val="none" w:sz="0" w:space="0" w:color="auto"/>
                    <w:bottom w:val="none" w:sz="0" w:space="0" w:color="auto"/>
                    <w:right w:val="none" w:sz="0" w:space="0" w:color="auto"/>
                  </w:divBdr>
                  <w:divsChild>
                    <w:div w:id="1889755088">
                      <w:marLeft w:val="0"/>
                      <w:marRight w:val="0"/>
                      <w:marTop w:val="0"/>
                      <w:marBottom w:val="0"/>
                      <w:divBdr>
                        <w:top w:val="none" w:sz="0" w:space="0" w:color="auto"/>
                        <w:left w:val="none" w:sz="0" w:space="0" w:color="auto"/>
                        <w:bottom w:val="none" w:sz="0" w:space="0" w:color="auto"/>
                        <w:right w:val="none" w:sz="0" w:space="0" w:color="auto"/>
                      </w:divBdr>
                    </w:div>
                  </w:divsChild>
                </w:div>
                <w:div w:id="1209949453">
                  <w:marLeft w:val="0"/>
                  <w:marRight w:val="0"/>
                  <w:marTop w:val="0"/>
                  <w:marBottom w:val="0"/>
                  <w:divBdr>
                    <w:top w:val="none" w:sz="0" w:space="0" w:color="auto"/>
                    <w:left w:val="none" w:sz="0" w:space="0" w:color="auto"/>
                    <w:bottom w:val="none" w:sz="0" w:space="0" w:color="auto"/>
                    <w:right w:val="none" w:sz="0" w:space="0" w:color="auto"/>
                  </w:divBdr>
                </w:div>
                <w:div w:id="1288506071">
                  <w:marLeft w:val="-225"/>
                  <w:marRight w:val="-225"/>
                  <w:marTop w:val="0"/>
                  <w:marBottom w:val="0"/>
                  <w:divBdr>
                    <w:top w:val="none" w:sz="0" w:space="0" w:color="auto"/>
                    <w:left w:val="none" w:sz="0" w:space="0" w:color="auto"/>
                    <w:bottom w:val="none" w:sz="0" w:space="0" w:color="auto"/>
                    <w:right w:val="none" w:sz="0" w:space="0" w:color="auto"/>
                  </w:divBdr>
                  <w:divsChild>
                    <w:div w:id="1596329820">
                      <w:marLeft w:val="0"/>
                      <w:marRight w:val="0"/>
                      <w:marTop w:val="0"/>
                      <w:marBottom w:val="0"/>
                      <w:divBdr>
                        <w:top w:val="none" w:sz="0" w:space="0" w:color="auto"/>
                        <w:left w:val="none" w:sz="0" w:space="0" w:color="auto"/>
                        <w:bottom w:val="none" w:sz="0" w:space="0" w:color="auto"/>
                        <w:right w:val="none" w:sz="0" w:space="0" w:color="auto"/>
                      </w:divBdr>
                    </w:div>
                  </w:divsChild>
                </w:div>
                <w:div w:id="19996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6721">
          <w:marLeft w:val="0"/>
          <w:marRight w:val="0"/>
          <w:marTop w:val="0"/>
          <w:marBottom w:val="0"/>
          <w:divBdr>
            <w:top w:val="none" w:sz="0" w:space="0" w:color="auto"/>
            <w:left w:val="none" w:sz="0" w:space="0" w:color="auto"/>
            <w:bottom w:val="none" w:sz="0" w:space="0" w:color="auto"/>
            <w:right w:val="none" w:sz="0" w:space="0" w:color="auto"/>
          </w:divBdr>
          <w:divsChild>
            <w:div w:id="458568257">
              <w:marLeft w:val="0"/>
              <w:marRight w:val="0"/>
              <w:marTop w:val="0"/>
              <w:marBottom w:val="0"/>
              <w:divBdr>
                <w:top w:val="none" w:sz="0" w:space="0" w:color="auto"/>
                <w:left w:val="none" w:sz="0" w:space="0" w:color="auto"/>
                <w:bottom w:val="none" w:sz="0" w:space="0" w:color="auto"/>
                <w:right w:val="none" w:sz="0" w:space="0" w:color="auto"/>
              </w:divBdr>
              <w:divsChild>
                <w:div w:id="2080712770">
                  <w:marLeft w:val="0"/>
                  <w:marRight w:val="0"/>
                  <w:marTop w:val="0"/>
                  <w:marBottom w:val="0"/>
                  <w:divBdr>
                    <w:top w:val="single" w:sz="6" w:space="0" w:color="DDDDDD"/>
                    <w:left w:val="single" w:sz="6" w:space="0" w:color="DDDDDD"/>
                    <w:bottom w:val="single" w:sz="6" w:space="0" w:color="DDDDDD"/>
                    <w:right w:val="single" w:sz="6" w:space="0" w:color="DDDDDD"/>
                  </w:divBdr>
                </w:div>
                <w:div w:id="17609024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75532139">
              <w:marLeft w:val="0"/>
              <w:marRight w:val="0"/>
              <w:marTop w:val="0"/>
              <w:marBottom w:val="0"/>
              <w:divBdr>
                <w:top w:val="none" w:sz="0" w:space="0" w:color="auto"/>
                <w:left w:val="none" w:sz="0" w:space="0" w:color="auto"/>
                <w:bottom w:val="none" w:sz="0" w:space="0" w:color="auto"/>
                <w:right w:val="none" w:sz="0" w:space="0" w:color="auto"/>
              </w:divBdr>
              <w:divsChild>
                <w:div w:id="208346039">
                  <w:marLeft w:val="-225"/>
                  <w:marRight w:val="-225"/>
                  <w:marTop w:val="0"/>
                  <w:marBottom w:val="0"/>
                  <w:divBdr>
                    <w:top w:val="none" w:sz="0" w:space="0" w:color="auto"/>
                    <w:left w:val="none" w:sz="0" w:space="0" w:color="auto"/>
                    <w:bottom w:val="none" w:sz="0" w:space="0" w:color="auto"/>
                    <w:right w:val="none" w:sz="0" w:space="0" w:color="auto"/>
                  </w:divBdr>
                  <w:divsChild>
                    <w:div w:id="196966399">
                      <w:marLeft w:val="0"/>
                      <w:marRight w:val="0"/>
                      <w:marTop w:val="0"/>
                      <w:marBottom w:val="0"/>
                      <w:divBdr>
                        <w:top w:val="none" w:sz="0" w:space="0" w:color="auto"/>
                        <w:left w:val="none" w:sz="0" w:space="0" w:color="auto"/>
                        <w:bottom w:val="none" w:sz="0" w:space="0" w:color="auto"/>
                        <w:right w:val="none" w:sz="0" w:space="0" w:color="auto"/>
                      </w:divBdr>
                    </w:div>
                  </w:divsChild>
                </w:div>
                <w:div w:id="1182547912">
                  <w:marLeft w:val="0"/>
                  <w:marRight w:val="0"/>
                  <w:marTop w:val="0"/>
                  <w:marBottom w:val="0"/>
                  <w:divBdr>
                    <w:top w:val="none" w:sz="0" w:space="0" w:color="auto"/>
                    <w:left w:val="none" w:sz="0" w:space="0" w:color="auto"/>
                    <w:bottom w:val="none" w:sz="0" w:space="0" w:color="auto"/>
                    <w:right w:val="none" w:sz="0" w:space="0" w:color="auto"/>
                  </w:divBdr>
                </w:div>
                <w:div w:id="1167137218">
                  <w:marLeft w:val="-225"/>
                  <w:marRight w:val="-225"/>
                  <w:marTop w:val="0"/>
                  <w:marBottom w:val="0"/>
                  <w:divBdr>
                    <w:top w:val="none" w:sz="0" w:space="0" w:color="auto"/>
                    <w:left w:val="none" w:sz="0" w:space="0" w:color="auto"/>
                    <w:bottom w:val="none" w:sz="0" w:space="0" w:color="auto"/>
                    <w:right w:val="none" w:sz="0" w:space="0" w:color="auto"/>
                  </w:divBdr>
                  <w:divsChild>
                    <w:div w:id="2063022639">
                      <w:marLeft w:val="0"/>
                      <w:marRight w:val="0"/>
                      <w:marTop w:val="0"/>
                      <w:marBottom w:val="0"/>
                      <w:divBdr>
                        <w:top w:val="none" w:sz="0" w:space="0" w:color="auto"/>
                        <w:left w:val="none" w:sz="0" w:space="0" w:color="auto"/>
                        <w:bottom w:val="none" w:sz="0" w:space="0" w:color="auto"/>
                        <w:right w:val="none" w:sz="0" w:space="0" w:color="auto"/>
                      </w:divBdr>
                    </w:div>
                  </w:divsChild>
                </w:div>
                <w:div w:id="1223567578">
                  <w:marLeft w:val="0"/>
                  <w:marRight w:val="0"/>
                  <w:marTop w:val="0"/>
                  <w:marBottom w:val="0"/>
                  <w:divBdr>
                    <w:top w:val="none" w:sz="0" w:space="0" w:color="auto"/>
                    <w:left w:val="none" w:sz="0" w:space="0" w:color="auto"/>
                    <w:bottom w:val="none" w:sz="0" w:space="0" w:color="auto"/>
                    <w:right w:val="none" w:sz="0" w:space="0" w:color="auto"/>
                  </w:divBdr>
                </w:div>
              </w:divsChild>
            </w:div>
            <w:div w:id="512691749">
              <w:marLeft w:val="0"/>
              <w:marRight w:val="0"/>
              <w:marTop w:val="0"/>
              <w:marBottom w:val="0"/>
              <w:divBdr>
                <w:top w:val="none" w:sz="0" w:space="0" w:color="auto"/>
                <w:left w:val="none" w:sz="0" w:space="0" w:color="auto"/>
                <w:bottom w:val="none" w:sz="0" w:space="0" w:color="auto"/>
                <w:right w:val="none" w:sz="0" w:space="0" w:color="auto"/>
              </w:divBdr>
            </w:div>
          </w:divsChild>
        </w:div>
        <w:div w:id="408692502">
          <w:marLeft w:val="0"/>
          <w:marRight w:val="0"/>
          <w:marTop w:val="0"/>
          <w:marBottom w:val="0"/>
          <w:divBdr>
            <w:top w:val="none" w:sz="0" w:space="0" w:color="auto"/>
            <w:left w:val="none" w:sz="0" w:space="0" w:color="auto"/>
            <w:bottom w:val="none" w:sz="0" w:space="0" w:color="auto"/>
            <w:right w:val="none" w:sz="0" w:space="0" w:color="auto"/>
          </w:divBdr>
          <w:divsChild>
            <w:div w:id="623660028">
              <w:marLeft w:val="0"/>
              <w:marRight w:val="0"/>
              <w:marTop w:val="0"/>
              <w:marBottom w:val="0"/>
              <w:divBdr>
                <w:top w:val="none" w:sz="0" w:space="0" w:color="auto"/>
                <w:left w:val="none" w:sz="0" w:space="0" w:color="auto"/>
                <w:bottom w:val="none" w:sz="0" w:space="0" w:color="auto"/>
                <w:right w:val="none" w:sz="0" w:space="0" w:color="auto"/>
              </w:divBdr>
              <w:divsChild>
                <w:div w:id="1499423024">
                  <w:marLeft w:val="-225"/>
                  <w:marRight w:val="-225"/>
                  <w:marTop w:val="0"/>
                  <w:marBottom w:val="0"/>
                  <w:divBdr>
                    <w:top w:val="none" w:sz="0" w:space="0" w:color="auto"/>
                    <w:left w:val="none" w:sz="0" w:space="0" w:color="auto"/>
                    <w:bottom w:val="none" w:sz="0" w:space="0" w:color="auto"/>
                    <w:right w:val="none" w:sz="0" w:space="0" w:color="auto"/>
                  </w:divBdr>
                  <w:divsChild>
                    <w:div w:id="1602907903">
                      <w:marLeft w:val="0"/>
                      <w:marRight w:val="0"/>
                      <w:marTop w:val="0"/>
                      <w:marBottom w:val="0"/>
                      <w:divBdr>
                        <w:top w:val="none" w:sz="0" w:space="0" w:color="auto"/>
                        <w:left w:val="none" w:sz="0" w:space="0" w:color="auto"/>
                        <w:bottom w:val="none" w:sz="0" w:space="0" w:color="auto"/>
                        <w:right w:val="none" w:sz="0" w:space="0" w:color="auto"/>
                      </w:divBdr>
                    </w:div>
                  </w:divsChild>
                </w:div>
                <w:div w:id="426076004">
                  <w:marLeft w:val="0"/>
                  <w:marRight w:val="0"/>
                  <w:marTop w:val="0"/>
                  <w:marBottom w:val="0"/>
                  <w:divBdr>
                    <w:top w:val="none" w:sz="0" w:space="0" w:color="auto"/>
                    <w:left w:val="none" w:sz="0" w:space="0" w:color="auto"/>
                    <w:bottom w:val="none" w:sz="0" w:space="0" w:color="auto"/>
                    <w:right w:val="none" w:sz="0" w:space="0" w:color="auto"/>
                  </w:divBdr>
                </w:div>
                <w:div w:id="1786994428">
                  <w:marLeft w:val="-225"/>
                  <w:marRight w:val="-225"/>
                  <w:marTop w:val="0"/>
                  <w:marBottom w:val="0"/>
                  <w:divBdr>
                    <w:top w:val="none" w:sz="0" w:space="0" w:color="auto"/>
                    <w:left w:val="none" w:sz="0" w:space="0" w:color="auto"/>
                    <w:bottom w:val="none" w:sz="0" w:space="0" w:color="auto"/>
                    <w:right w:val="none" w:sz="0" w:space="0" w:color="auto"/>
                  </w:divBdr>
                  <w:divsChild>
                    <w:div w:id="236788674">
                      <w:marLeft w:val="0"/>
                      <w:marRight w:val="0"/>
                      <w:marTop w:val="0"/>
                      <w:marBottom w:val="0"/>
                      <w:divBdr>
                        <w:top w:val="none" w:sz="0" w:space="0" w:color="auto"/>
                        <w:left w:val="none" w:sz="0" w:space="0" w:color="auto"/>
                        <w:bottom w:val="none" w:sz="0" w:space="0" w:color="auto"/>
                        <w:right w:val="none" w:sz="0" w:space="0" w:color="auto"/>
                      </w:divBdr>
                    </w:div>
                  </w:divsChild>
                </w:div>
                <w:div w:id="2110731879">
                  <w:marLeft w:val="0"/>
                  <w:marRight w:val="0"/>
                  <w:marTop w:val="0"/>
                  <w:marBottom w:val="0"/>
                  <w:divBdr>
                    <w:top w:val="none" w:sz="0" w:space="0" w:color="auto"/>
                    <w:left w:val="none" w:sz="0" w:space="0" w:color="auto"/>
                    <w:bottom w:val="none" w:sz="0" w:space="0" w:color="auto"/>
                    <w:right w:val="none" w:sz="0" w:space="0" w:color="auto"/>
                  </w:divBdr>
                </w:div>
                <w:div w:id="1772236391">
                  <w:marLeft w:val="-225"/>
                  <w:marRight w:val="-225"/>
                  <w:marTop w:val="0"/>
                  <w:marBottom w:val="0"/>
                  <w:divBdr>
                    <w:top w:val="none" w:sz="0" w:space="0" w:color="auto"/>
                    <w:left w:val="none" w:sz="0" w:space="0" w:color="auto"/>
                    <w:bottom w:val="none" w:sz="0" w:space="0" w:color="auto"/>
                    <w:right w:val="none" w:sz="0" w:space="0" w:color="auto"/>
                  </w:divBdr>
                  <w:divsChild>
                    <w:div w:id="348339480">
                      <w:marLeft w:val="0"/>
                      <w:marRight w:val="0"/>
                      <w:marTop w:val="0"/>
                      <w:marBottom w:val="0"/>
                      <w:divBdr>
                        <w:top w:val="none" w:sz="0" w:space="0" w:color="auto"/>
                        <w:left w:val="none" w:sz="0" w:space="0" w:color="auto"/>
                        <w:bottom w:val="none" w:sz="0" w:space="0" w:color="auto"/>
                        <w:right w:val="none" w:sz="0" w:space="0" w:color="auto"/>
                      </w:divBdr>
                    </w:div>
                  </w:divsChild>
                </w:div>
                <w:div w:id="845484591">
                  <w:marLeft w:val="0"/>
                  <w:marRight w:val="0"/>
                  <w:marTop w:val="0"/>
                  <w:marBottom w:val="0"/>
                  <w:divBdr>
                    <w:top w:val="none" w:sz="0" w:space="0" w:color="auto"/>
                    <w:left w:val="none" w:sz="0" w:space="0" w:color="auto"/>
                    <w:bottom w:val="none" w:sz="0" w:space="0" w:color="auto"/>
                    <w:right w:val="none" w:sz="0" w:space="0" w:color="auto"/>
                  </w:divBdr>
                </w:div>
              </w:divsChild>
            </w:div>
            <w:div w:id="1671592365">
              <w:marLeft w:val="0"/>
              <w:marRight w:val="0"/>
              <w:marTop w:val="0"/>
              <w:marBottom w:val="0"/>
              <w:divBdr>
                <w:top w:val="none" w:sz="0" w:space="0" w:color="auto"/>
                <w:left w:val="none" w:sz="0" w:space="0" w:color="auto"/>
                <w:bottom w:val="none" w:sz="0" w:space="0" w:color="auto"/>
                <w:right w:val="none" w:sz="0" w:space="0" w:color="auto"/>
              </w:divBdr>
              <w:divsChild>
                <w:div w:id="1713769511">
                  <w:marLeft w:val="0"/>
                  <w:marRight w:val="0"/>
                  <w:marTop w:val="0"/>
                  <w:marBottom w:val="0"/>
                  <w:divBdr>
                    <w:top w:val="none" w:sz="0" w:space="0" w:color="auto"/>
                    <w:left w:val="none" w:sz="0" w:space="0" w:color="auto"/>
                    <w:bottom w:val="none" w:sz="0" w:space="0" w:color="auto"/>
                    <w:right w:val="none" w:sz="0" w:space="0" w:color="auto"/>
                  </w:divBdr>
                  <w:divsChild>
                    <w:div w:id="566499393">
                      <w:marLeft w:val="-225"/>
                      <w:marRight w:val="-225"/>
                      <w:marTop w:val="0"/>
                      <w:marBottom w:val="0"/>
                      <w:divBdr>
                        <w:top w:val="none" w:sz="0" w:space="0" w:color="auto"/>
                        <w:left w:val="none" w:sz="0" w:space="0" w:color="auto"/>
                        <w:bottom w:val="none" w:sz="0" w:space="0" w:color="auto"/>
                        <w:right w:val="none" w:sz="0" w:space="0" w:color="auto"/>
                      </w:divBdr>
                      <w:divsChild>
                        <w:div w:id="822427460">
                          <w:marLeft w:val="0"/>
                          <w:marRight w:val="0"/>
                          <w:marTop w:val="0"/>
                          <w:marBottom w:val="0"/>
                          <w:divBdr>
                            <w:top w:val="none" w:sz="0" w:space="0" w:color="auto"/>
                            <w:left w:val="none" w:sz="0" w:space="0" w:color="auto"/>
                            <w:bottom w:val="none" w:sz="0" w:space="0" w:color="auto"/>
                            <w:right w:val="none" w:sz="0" w:space="0" w:color="auto"/>
                          </w:divBdr>
                        </w:div>
                      </w:divsChild>
                    </w:div>
                    <w:div w:id="2145537387">
                      <w:marLeft w:val="0"/>
                      <w:marRight w:val="0"/>
                      <w:marTop w:val="0"/>
                      <w:marBottom w:val="0"/>
                      <w:divBdr>
                        <w:top w:val="none" w:sz="0" w:space="0" w:color="auto"/>
                        <w:left w:val="none" w:sz="0" w:space="0" w:color="auto"/>
                        <w:bottom w:val="none" w:sz="0" w:space="0" w:color="auto"/>
                        <w:right w:val="none" w:sz="0" w:space="0" w:color="auto"/>
                      </w:divBdr>
                    </w:div>
                    <w:div w:id="915044751">
                      <w:marLeft w:val="-225"/>
                      <w:marRight w:val="-225"/>
                      <w:marTop w:val="0"/>
                      <w:marBottom w:val="0"/>
                      <w:divBdr>
                        <w:top w:val="none" w:sz="0" w:space="0" w:color="auto"/>
                        <w:left w:val="none" w:sz="0" w:space="0" w:color="auto"/>
                        <w:bottom w:val="none" w:sz="0" w:space="0" w:color="auto"/>
                        <w:right w:val="none" w:sz="0" w:space="0" w:color="auto"/>
                      </w:divBdr>
                      <w:divsChild>
                        <w:div w:id="909119634">
                          <w:marLeft w:val="0"/>
                          <w:marRight w:val="0"/>
                          <w:marTop w:val="0"/>
                          <w:marBottom w:val="0"/>
                          <w:divBdr>
                            <w:top w:val="none" w:sz="0" w:space="0" w:color="auto"/>
                            <w:left w:val="none" w:sz="0" w:space="0" w:color="auto"/>
                            <w:bottom w:val="none" w:sz="0" w:space="0" w:color="auto"/>
                            <w:right w:val="none" w:sz="0" w:space="0" w:color="auto"/>
                          </w:divBdr>
                        </w:div>
                      </w:divsChild>
                    </w:div>
                    <w:div w:id="514922507">
                      <w:marLeft w:val="0"/>
                      <w:marRight w:val="0"/>
                      <w:marTop w:val="0"/>
                      <w:marBottom w:val="0"/>
                      <w:divBdr>
                        <w:top w:val="none" w:sz="0" w:space="0" w:color="auto"/>
                        <w:left w:val="none" w:sz="0" w:space="0" w:color="auto"/>
                        <w:bottom w:val="none" w:sz="0" w:space="0" w:color="auto"/>
                        <w:right w:val="none" w:sz="0" w:space="0" w:color="auto"/>
                      </w:divBdr>
                    </w:div>
                  </w:divsChild>
                </w:div>
                <w:div w:id="1045301348">
                  <w:marLeft w:val="0"/>
                  <w:marRight w:val="0"/>
                  <w:marTop w:val="0"/>
                  <w:marBottom w:val="0"/>
                  <w:divBdr>
                    <w:top w:val="none" w:sz="0" w:space="0" w:color="auto"/>
                    <w:left w:val="none" w:sz="0" w:space="0" w:color="auto"/>
                    <w:bottom w:val="none" w:sz="0" w:space="0" w:color="auto"/>
                    <w:right w:val="none" w:sz="0" w:space="0" w:color="auto"/>
                  </w:divBdr>
                  <w:divsChild>
                    <w:div w:id="2089689289">
                      <w:marLeft w:val="-225"/>
                      <w:marRight w:val="-225"/>
                      <w:marTop w:val="0"/>
                      <w:marBottom w:val="0"/>
                      <w:divBdr>
                        <w:top w:val="none" w:sz="0" w:space="0" w:color="auto"/>
                        <w:left w:val="none" w:sz="0" w:space="0" w:color="auto"/>
                        <w:bottom w:val="none" w:sz="0" w:space="0" w:color="auto"/>
                        <w:right w:val="none" w:sz="0" w:space="0" w:color="auto"/>
                      </w:divBdr>
                      <w:divsChild>
                        <w:div w:id="933443468">
                          <w:marLeft w:val="0"/>
                          <w:marRight w:val="0"/>
                          <w:marTop w:val="0"/>
                          <w:marBottom w:val="0"/>
                          <w:divBdr>
                            <w:top w:val="none" w:sz="0" w:space="0" w:color="auto"/>
                            <w:left w:val="none" w:sz="0" w:space="0" w:color="auto"/>
                            <w:bottom w:val="none" w:sz="0" w:space="0" w:color="auto"/>
                            <w:right w:val="none" w:sz="0" w:space="0" w:color="auto"/>
                          </w:divBdr>
                        </w:div>
                      </w:divsChild>
                    </w:div>
                    <w:div w:id="1281495759">
                      <w:marLeft w:val="0"/>
                      <w:marRight w:val="0"/>
                      <w:marTop w:val="0"/>
                      <w:marBottom w:val="0"/>
                      <w:divBdr>
                        <w:top w:val="none" w:sz="0" w:space="0" w:color="auto"/>
                        <w:left w:val="none" w:sz="0" w:space="0" w:color="auto"/>
                        <w:bottom w:val="none" w:sz="0" w:space="0" w:color="auto"/>
                        <w:right w:val="none" w:sz="0" w:space="0" w:color="auto"/>
                      </w:divBdr>
                    </w:div>
                    <w:div w:id="148132262">
                      <w:marLeft w:val="-225"/>
                      <w:marRight w:val="-225"/>
                      <w:marTop w:val="0"/>
                      <w:marBottom w:val="0"/>
                      <w:divBdr>
                        <w:top w:val="none" w:sz="0" w:space="0" w:color="auto"/>
                        <w:left w:val="none" w:sz="0" w:space="0" w:color="auto"/>
                        <w:bottom w:val="none" w:sz="0" w:space="0" w:color="auto"/>
                        <w:right w:val="none" w:sz="0" w:space="0" w:color="auto"/>
                      </w:divBdr>
                      <w:divsChild>
                        <w:div w:id="1465855720">
                          <w:marLeft w:val="0"/>
                          <w:marRight w:val="0"/>
                          <w:marTop w:val="0"/>
                          <w:marBottom w:val="0"/>
                          <w:divBdr>
                            <w:top w:val="none" w:sz="0" w:space="0" w:color="auto"/>
                            <w:left w:val="none" w:sz="0" w:space="0" w:color="auto"/>
                            <w:bottom w:val="none" w:sz="0" w:space="0" w:color="auto"/>
                            <w:right w:val="none" w:sz="0" w:space="0" w:color="auto"/>
                          </w:divBdr>
                        </w:div>
                      </w:divsChild>
                    </w:div>
                    <w:div w:id="1729962935">
                      <w:marLeft w:val="0"/>
                      <w:marRight w:val="0"/>
                      <w:marTop w:val="0"/>
                      <w:marBottom w:val="0"/>
                      <w:divBdr>
                        <w:top w:val="none" w:sz="0" w:space="0" w:color="auto"/>
                        <w:left w:val="none" w:sz="0" w:space="0" w:color="auto"/>
                        <w:bottom w:val="none" w:sz="0" w:space="0" w:color="auto"/>
                        <w:right w:val="none" w:sz="0" w:space="0" w:color="auto"/>
                      </w:divBdr>
                    </w:div>
                  </w:divsChild>
                </w:div>
                <w:div w:id="168375722">
                  <w:marLeft w:val="0"/>
                  <w:marRight w:val="0"/>
                  <w:marTop w:val="0"/>
                  <w:marBottom w:val="0"/>
                  <w:divBdr>
                    <w:top w:val="none" w:sz="0" w:space="0" w:color="auto"/>
                    <w:left w:val="none" w:sz="0" w:space="0" w:color="auto"/>
                    <w:bottom w:val="none" w:sz="0" w:space="0" w:color="auto"/>
                    <w:right w:val="none" w:sz="0" w:space="0" w:color="auto"/>
                  </w:divBdr>
                  <w:divsChild>
                    <w:div w:id="1856993871">
                      <w:marLeft w:val="-225"/>
                      <w:marRight w:val="-225"/>
                      <w:marTop w:val="0"/>
                      <w:marBottom w:val="0"/>
                      <w:divBdr>
                        <w:top w:val="none" w:sz="0" w:space="0" w:color="auto"/>
                        <w:left w:val="none" w:sz="0" w:space="0" w:color="auto"/>
                        <w:bottom w:val="none" w:sz="0" w:space="0" w:color="auto"/>
                        <w:right w:val="none" w:sz="0" w:space="0" w:color="auto"/>
                      </w:divBdr>
                      <w:divsChild>
                        <w:div w:id="695276134">
                          <w:marLeft w:val="0"/>
                          <w:marRight w:val="0"/>
                          <w:marTop w:val="0"/>
                          <w:marBottom w:val="0"/>
                          <w:divBdr>
                            <w:top w:val="none" w:sz="0" w:space="0" w:color="auto"/>
                            <w:left w:val="none" w:sz="0" w:space="0" w:color="auto"/>
                            <w:bottom w:val="none" w:sz="0" w:space="0" w:color="auto"/>
                            <w:right w:val="none" w:sz="0" w:space="0" w:color="auto"/>
                          </w:divBdr>
                        </w:div>
                      </w:divsChild>
                    </w:div>
                    <w:div w:id="13909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6">
          <w:marLeft w:val="0"/>
          <w:marRight w:val="0"/>
          <w:marTop w:val="0"/>
          <w:marBottom w:val="0"/>
          <w:divBdr>
            <w:top w:val="none" w:sz="0" w:space="0" w:color="auto"/>
            <w:left w:val="none" w:sz="0" w:space="0" w:color="auto"/>
            <w:bottom w:val="none" w:sz="0" w:space="0" w:color="auto"/>
            <w:right w:val="none" w:sz="0" w:space="0" w:color="auto"/>
          </w:divBdr>
        </w:div>
      </w:divsChild>
    </w:div>
    <w:div w:id="570311700">
      <w:bodyDiv w:val="1"/>
      <w:marLeft w:val="0"/>
      <w:marRight w:val="0"/>
      <w:marTop w:val="0"/>
      <w:marBottom w:val="0"/>
      <w:divBdr>
        <w:top w:val="none" w:sz="0" w:space="0" w:color="auto"/>
        <w:left w:val="none" w:sz="0" w:space="0" w:color="auto"/>
        <w:bottom w:val="none" w:sz="0" w:space="0" w:color="auto"/>
        <w:right w:val="none" w:sz="0" w:space="0" w:color="auto"/>
      </w:divBdr>
    </w:div>
    <w:div w:id="680395876">
      <w:bodyDiv w:val="1"/>
      <w:marLeft w:val="0"/>
      <w:marRight w:val="0"/>
      <w:marTop w:val="0"/>
      <w:marBottom w:val="0"/>
      <w:divBdr>
        <w:top w:val="none" w:sz="0" w:space="0" w:color="auto"/>
        <w:left w:val="none" w:sz="0" w:space="0" w:color="auto"/>
        <w:bottom w:val="none" w:sz="0" w:space="0" w:color="auto"/>
        <w:right w:val="none" w:sz="0" w:space="0" w:color="auto"/>
      </w:divBdr>
    </w:div>
    <w:div w:id="688027710">
      <w:bodyDiv w:val="1"/>
      <w:marLeft w:val="0"/>
      <w:marRight w:val="0"/>
      <w:marTop w:val="0"/>
      <w:marBottom w:val="0"/>
      <w:divBdr>
        <w:top w:val="none" w:sz="0" w:space="0" w:color="auto"/>
        <w:left w:val="none" w:sz="0" w:space="0" w:color="auto"/>
        <w:bottom w:val="none" w:sz="0" w:space="0" w:color="auto"/>
        <w:right w:val="none" w:sz="0" w:space="0" w:color="auto"/>
      </w:divBdr>
    </w:div>
    <w:div w:id="947735611">
      <w:bodyDiv w:val="1"/>
      <w:marLeft w:val="0"/>
      <w:marRight w:val="0"/>
      <w:marTop w:val="0"/>
      <w:marBottom w:val="0"/>
      <w:divBdr>
        <w:top w:val="none" w:sz="0" w:space="0" w:color="auto"/>
        <w:left w:val="none" w:sz="0" w:space="0" w:color="auto"/>
        <w:bottom w:val="none" w:sz="0" w:space="0" w:color="auto"/>
        <w:right w:val="none" w:sz="0" w:space="0" w:color="auto"/>
      </w:divBdr>
    </w:div>
    <w:div w:id="1189834930">
      <w:bodyDiv w:val="1"/>
      <w:marLeft w:val="0"/>
      <w:marRight w:val="0"/>
      <w:marTop w:val="0"/>
      <w:marBottom w:val="0"/>
      <w:divBdr>
        <w:top w:val="none" w:sz="0" w:space="0" w:color="auto"/>
        <w:left w:val="none" w:sz="0" w:space="0" w:color="auto"/>
        <w:bottom w:val="none" w:sz="0" w:space="0" w:color="auto"/>
        <w:right w:val="none" w:sz="0" w:space="0" w:color="auto"/>
      </w:divBdr>
    </w:div>
    <w:div w:id="1500580825">
      <w:bodyDiv w:val="1"/>
      <w:marLeft w:val="0"/>
      <w:marRight w:val="0"/>
      <w:marTop w:val="0"/>
      <w:marBottom w:val="0"/>
      <w:divBdr>
        <w:top w:val="none" w:sz="0" w:space="0" w:color="auto"/>
        <w:left w:val="none" w:sz="0" w:space="0" w:color="auto"/>
        <w:bottom w:val="none" w:sz="0" w:space="0" w:color="auto"/>
        <w:right w:val="none" w:sz="0" w:space="0" w:color="auto"/>
      </w:divBdr>
      <w:divsChild>
        <w:div w:id="895433059">
          <w:marLeft w:val="0"/>
          <w:marRight w:val="0"/>
          <w:marTop w:val="0"/>
          <w:marBottom w:val="0"/>
          <w:divBdr>
            <w:top w:val="none" w:sz="0" w:space="0" w:color="auto"/>
            <w:left w:val="none" w:sz="0" w:space="0" w:color="auto"/>
            <w:bottom w:val="none" w:sz="0" w:space="0" w:color="auto"/>
            <w:right w:val="none" w:sz="0" w:space="0" w:color="auto"/>
          </w:divBdr>
        </w:div>
        <w:div w:id="1566647222">
          <w:marLeft w:val="-225"/>
          <w:marRight w:val="-225"/>
          <w:marTop w:val="0"/>
          <w:marBottom w:val="0"/>
          <w:divBdr>
            <w:top w:val="none" w:sz="0" w:space="0" w:color="auto"/>
            <w:left w:val="none" w:sz="0" w:space="0" w:color="auto"/>
            <w:bottom w:val="none" w:sz="0" w:space="0" w:color="auto"/>
            <w:right w:val="none" w:sz="0" w:space="0" w:color="auto"/>
          </w:divBdr>
          <w:divsChild>
            <w:div w:id="605700353">
              <w:marLeft w:val="0"/>
              <w:marRight w:val="0"/>
              <w:marTop w:val="0"/>
              <w:marBottom w:val="0"/>
              <w:divBdr>
                <w:top w:val="none" w:sz="0" w:space="0" w:color="auto"/>
                <w:left w:val="none" w:sz="0" w:space="0" w:color="auto"/>
                <w:bottom w:val="none" w:sz="0" w:space="0" w:color="auto"/>
                <w:right w:val="none" w:sz="0" w:space="0" w:color="auto"/>
              </w:divBdr>
            </w:div>
          </w:divsChild>
        </w:div>
        <w:div w:id="359207399">
          <w:marLeft w:val="0"/>
          <w:marRight w:val="0"/>
          <w:marTop w:val="0"/>
          <w:marBottom w:val="0"/>
          <w:divBdr>
            <w:top w:val="none" w:sz="0" w:space="0" w:color="auto"/>
            <w:left w:val="none" w:sz="0" w:space="0" w:color="auto"/>
            <w:bottom w:val="none" w:sz="0" w:space="0" w:color="auto"/>
            <w:right w:val="none" w:sz="0" w:space="0" w:color="auto"/>
          </w:divBdr>
        </w:div>
        <w:div w:id="38628928">
          <w:marLeft w:val="0"/>
          <w:marRight w:val="0"/>
          <w:marTop w:val="0"/>
          <w:marBottom w:val="0"/>
          <w:divBdr>
            <w:top w:val="none" w:sz="0" w:space="0" w:color="auto"/>
            <w:left w:val="none" w:sz="0" w:space="0" w:color="auto"/>
            <w:bottom w:val="none" w:sz="0" w:space="0" w:color="auto"/>
            <w:right w:val="none" w:sz="0" w:space="0" w:color="auto"/>
          </w:divBdr>
        </w:div>
        <w:div w:id="1297837385">
          <w:marLeft w:val="0"/>
          <w:marRight w:val="0"/>
          <w:marTop w:val="0"/>
          <w:marBottom w:val="0"/>
          <w:divBdr>
            <w:top w:val="none" w:sz="0" w:space="0" w:color="auto"/>
            <w:left w:val="none" w:sz="0" w:space="0" w:color="auto"/>
            <w:bottom w:val="none" w:sz="0" w:space="0" w:color="auto"/>
            <w:right w:val="none" w:sz="0" w:space="0" w:color="auto"/>
          </w:divBdr>
          <w:divsChild>
            <w:div w:id="253704522">
              <w:marLeft w:val="0"/>
              <w:marRight w:val="0"/>
              <w:marTop w:val="0"/>
              <w:marBottom w:val="0"/>
              <w:divBdr>
                <w:top w:val="none" w:sz="0" w:space="0" w:color="auto"/>
                <w:left w:val="none" w:sz="0" w:space="0" w:color="auto"/>
                <w:bottom w:val="none" w:sz="0" w:space="0" w:color="auto"/>
                <w:right w:val="none" w:sz="0" w:space="0" w:color="auto"/>
              </w:divBdr>
              <w:divsChild>
                <w:div w:id="1297226440">
                  <w:marLeft w:val="-225"/>
                  <w:marRight w:val="-225"/>
                  <w:marTop w:val="0"/>
                  <w:marBottom w:val="0"/>
                  <w:divBdr>
                    <w:top w:val="none" w:sz="0" w:space="0" w:color="auto"/>
                    <w:left w:val="none" w:sz="0" w:space="0" w:color="auto"/>
                    <w:bottom w:val="none" w:sz="0" w:space="0" w:color="auto"/>
                    <w:right w:val="none" w:sz="0" w:space="0" w:color="auto"/>
                  </w:divBdr>
                  <w:divsChild>
                    <w:div w:id="1101340362">
                      <w:marLeft w:val="0"/>
                      <w:marRight w:val="0"/>
                      <w:marTop w:val="0"/>
                      <w:marBottom w:val="0"/>
                      <w:divBdr>
                        <w:top w:val="none" w:sz="0" w:space="0" w:color="auto"/>
                        <w:left w:val="none" w:sz="0" w:space="0" w:color="auto"/>
                        <w:bottom w:val="none" w:sz="0" w:space="0" w:color="auto"/>
                        <w:right w:val="none" w:sz="0" w:space="0" w:color="auto"/>
                      </w:divBdr>
                    </w:div>
                  </w:divsChild>
                </w:div>
                <w:div w:id="1964076932">
                  <w:marLeft w:val="0"/>
                  <w:marRight w:val="0"/>
                  <w:marTop w:val="0"/>
                  <w:marBottom w:val="0"/>
                  <w:divBdr>
                    <w:top w:val="none" w:sz="0" w:space="0" w:color="auto"/>
                    <w:left w:val="none" w:sz="0" w:space="0" w:color="auto"/>
                    <w:bottom w:val="none" w:sz="0" w:space="0" w:color="auto"/>
                    <w:right w:val="none" w:sz="0" w:space="0" w:color="auto"/>
                  </w:divBdr>
                </w:div>
                <w:div w:id="1530295763">
                  <w:marLeft w:val="-225"/>
                  <w:marRight w:val="-225"/>
                  <w:marTop w:val="0"/>
                  <w:marBottom w:val="0"/>
                  <w:divBdr>
                    <w:top w:val="none" w:sz="0" w:space="0" w:color="auto"/>
                    <w:left w:val="none" w:sz="0" w:space="0" w:color="auto"/>
                    <w:bottom w:val="none" w:sz="0" w:space="0" w:color="auto"/>
                    <w:right w:val="none" w:sz="0" w:space="0" w:color="auto"/>
                  </w:divBdr>
                  <w:divsChild>
                    <w:div w:id="1241016536">
                      <w:marLeft w:val="0"/>
                      <w:marRight w:val="0"/>
                      <w:marTop w:val="0"/>
                      <w:marBottom w:val="0"/>
                      <w:divBdr>
                        <w:top w:val="none" w:sz="0" w:space="0" w:color="auto"/>
                        <w:left w:val="none" w:sz="0" w:space="0" w:color="auto"/>
                        <w:bottom w:val="none" w:sz="0" w:space="0" w:color="auto"/>
                        <w:right w:val="none" w:sz="0" w:space="0" w:color="auto"/>
                      </w:divBdr>
                    </w:div>
                  </w:divsChild>
                </w:div>
                <w:div w:id="1319504377">
                  <w:marLeft w:val="0"/>
                  <w:marRight w:val="0"/>
                  <w:marTop w:val="0"/>
                  <w:marBottom w:val="0"/>
                  <w:divBdr>
                    <w:top w:val="none" w:sz="0" w:space="0" w:color="auto"/>
                    <w:left w:val="none" w:sz="0" w:space="0" w:color="auto"/>
                    <w:bottom w:val="none" w:sz="0" w:space="0" w:color="auto"/>
                    <w:right w:val="none" w:sz="0" w:space="0" w:color="auto"/>
                  </w:divBdr>
                </w:div>
                <w:div w:id="428821264">
                  <w:marLeft w:val="-225"/>
                  <w:marRight w:val="-225"/>
                  <w:marTop w:val="0"/>
                  <w:marBottom w:val="0"/>
                  <w:divBdr>
                    <w:top w:val="none" w:sz="0" w:space="0" w:color="auto"/>
                    <w:left w:val="none" w:sz="0" w:space="0" w:color="auto"/>
                    <w:bottom w:val="none" w:sz="0" w:space="0" w:color="auto"/>
                    <w:right w:val="none" w:sz="0" w:space="0" w:color="auto"/>
                  </w:divBdr>
                  <w:divsChild>
                    <w:div w:id="819273123">
                      <w:marLeft w:val="0"/>
                      <w:marRight w:val="0"/>
                      <w:marTop w:val="0"/>
                      <w:marBottom w:val="0"/>
                      <w:divBdr>
                        <w:top w:val="none" w:sz="0" w:space="0" w:color="auto"/>
                        <w:left w:val="none" w:sz="0" w:space="0" w:color="auto"/>
                        <w:bottom w:val="none" w:sz="0" w:space="0" w:color="auto"/>
                        <w:right w:val="none" w:sz="0" w:space="0" w:color="auto"/>
                      </w:divBdr>
                    </w:div>
                  </w:divsChild>
                </w:div>
                <w:div w:id="860626057">
                  <w:marLeft w:val="0"/>
                  <w:marRight w:val="0"/>
                  <w:marTop w:val="0"/>
                  <w:marBottom w:val="0"/>
                  <w:divBdr>
                    <w:top w:val="none" w:sz="0" w:space="0" w:color="auto"/>
                    <w:left w:val="none" w:sz="0" w:space="0" w:color="auto"/>
                    <w:bottom w:val="none" w:sz="0" w:space="0" w:color="auto"/>
                    <w:right w:val="none" w:sz="0" w:space="0" w:color="auto"/>
                  </w:divBdr>
                </w:div>
                <w:div w:id="1901331574">
                  <w:marLeft w:val="-225"/>
                  <w:marRight w:val="-225"/>
                  <w:marTop w:val="0"/>
                  <w:marBottom w:val="0"/>
                  <w:divBdr>
                    <w:top w:val="none" w:sz="0" w:space="0" w:color="auto"/>
                    <w:left w:val="none" w:sz="0" w:space="0" w:color="auto"/>
                    <w:bottom w:val="none" w:sz="0" w:space="0" w:color="auto"/>
                    <w:right w:val="none" w:sz="0" w:space="0" w:color="auto"/>
                  </w:divBdr>
                  <w:divsChild>
                    <w:div w:id="830485364">
                      <w:marLeft w:val="0"/>
                      <w:marRight w:val="0"/>
                      <w:marTop w:val="0"/>
                      <w:marBottom w:val="0"/>
                      <w:divBdr>
                        <w:top w:val="none" w:sz="0" w:space="0" w:color="auto"/>
                        <w:left w:val="none" w:sz="0" w:space="0" w:color="auto"/>
                        <w:bottom w:val="none" w:sz="0" w:space="0" w:color="auto"/>
                        <w:right w:val="none" w:sz="0" w:space="0" w:color="auto"/>
                      </w:divBdr>
                    </w:div>
                  </w:divsChild>
                </w:div>
                <w:div w:id="990257288">
                  <w:marLeft w:val="0"/>
                  <w:marRight w:val="0"/>
                  <w:marTop w:val="0"/>
                  <w:marBottom w:val="0"/>
                  <w:divBdr>
                    <w:top w:val="none" w:sz="0" w:space="0" w:color="auto"/>
                    <w:left w:val="none" w:sz="0" w:space="0" w:color="auto"/>
                    <w:bottom w:val="none" w:sz="0" w:space="0" w:color="auto"/>
                    <w:right w:val="none" w:sz="0" w:space="0" w:color="auto"/>
                  </w:divBdr>
                </w:div>
              </w:divsChild>
            </w:div>
            <w:div w:id="2108764332">
              <w:marLeft w:val="0"/>
              <w:marRight w:val="0"/>
              <w:marTop w:val="0"/>
              <w:marBottom w:val="0"/>
              <w:divBdr>
                <w:top w:val="none" w:sz="0" w:space="0" w:color="auto"/>
                <w:left w:val="none" w:sz="0" w:space="0" w:color="auto"/>
                <w:bottom w:val="none" w:sz="0" w:space="0" w:color="auto"/>
                <w:right w:val="none" w:sz="0" w:space="0" w:color="auto"/>
              </w:divBdr>
              <w:divsChild>
                <w:div w:id="1161235590">
                  <w:marLeft w:val="-225"/>
                  <w:marRight w:val="-225"/>
                  <w:marTop w:val="0"/>
                  <w:marBottom w:val="0"/>
                  <w:divBdr>
                    <w:top w:val="none" w:sz="0" w:space="0" w:color="auto"/>
                    <w:left w:val="none" w:sz="0" w:space="0" w:color="auto"/>
                    <w:bottom w:val="none" w:sz="0" w:space="0" w:color="auto"/>
                    <w:right w:val="none" w:sz="0" w:space="0" w:color="auto"/>
                  </w:divBdr>
                  <w:divsChild>
                    <w:div w:id="1657344877">
                      <w:marLeft w:val="0"/>
                      <w:marRight w:val="0"/>
                      <w:marTop w:val="0"/>
                      <w:marBottom w:val="0"/>
                      <w:divBdr>
                        <w:top w:val="none" w:sz="0" w:space="0" w:color="auto"/>
                        <w:left w:val="none" w:sz="0" w:space="0" w:color="auto"/>
                        <w:bottom w:val="none" w:sz="0" w:space="0" w:color="auto"/>
                        <w:right w:val="none" w:sz="0" w:space="0" w:color="auto"/>
                      </w:divBdr>
                    </w:div>
                  </w:divsChild>
                </w:div>
                <w:div w:id="20436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617">
          <w:marLeft w:val="0"/>
          <w:marRight w:val="0"/>
          <w:marTop w:val="0"/>
          <w:marBottom w:val="0"/>
          <w:divBdr>
            <w:top w:val="none" w:sz="0" w:space="0" w:color="auto"/>
            <w:left w:val="none" w:sz="0" w:space="0" w:color="auto"/>
            <w:bottom w:val="none" w:sz="0" w:space="0" w:color="auto"/>
            <w:right w:val="none" w:sz="0" w:space="0" w:color="auto"/>
          </w:divBdr>
          <w:divsChild>
            <w:div w:id="156849056">
              <w:marLeft w:val="0"/>
              <w:marRight w:val="0"/>
              <w:marTop w:val="0"/>
              <w:marBottom w:val="0"/>
              <w:divBdr>
                <w:top w:val="none" w:sz="0" w:space="0" w:color="auto"/>
                <w:left w:val="none" w:sz="0" w:space="0" w:color="auto"/>
                <w:bottom w:val="none" w:sz="0" w:space="0" w:color="auto"/>
                <w:right w:val="none" w:sz="0" w:space="0" w:color="auto"/>
              </w:divBdr>
            </w:div>
            <w:div w:id="508565910">
              <w:marLeft w:val="0"/>
              <w:marRight w:val="0"/>
              <w:marTop w:val="0"/>
              <w:marBottom w:val="0"/>
              <w:divBdr>
                <w:top w:val="none" w:sz="0" w:space="0" w:color="auto"/>
                <w:left w:val="none" w:sz="0" w:space="0" w:color="auto"/>
                <w:bottom w:val="none" w:sz="0" w:space="0" w:color="auto"/>
                <w:right w:val="none" w:sz="0" w:space="0" w:color="auto"/>
              </w:divBdr>
              <w:divsChild>
                <w:div w:id="1607419975">
                  <w:marLeft w:val="-225"/>
                  <w:marRight w:val="-225"/>
                  <w:marTop w:val="0"/>
                  <w:marBottom w:val="0"/>
                  <w:divBdr>
                    <w:top w:val="none" w:sz="0" w:space="0" w:color="auto"/>
                    <w:left w:val="none" w:sz="0" w:space="0" w:color="auto"/>
                    <w:bottom w:val="none" w:sz="0" w:space="0" w:color="auto"/>
                    <w:right w:val="none" w:sz="0" w:space="0" w:color="auto"/>
                  </w:divBdr>
                  <w:divsChild>
                    <w:div w:id="1412002620">
                      <w:marLeft w:val="0"/>
                      <w:marRight w:val="0"/>
                      <w:marTop w:val="0"/>
                      <w:marBottom w:val="0"/>
                      <w:divBdr>
                        <w:top w:val="none" w:sz="0" w:space="0" w:color="auto"/>
                        <w:left w:val="none" w:sz="0" w:space="0" w:color="auto"/>
                        <w:bottom w:val="none" w:sz="0" w:space="0" w:color="auto"/>
                        <w:right w:val="none" w:sz="0" w:space="0" w:color="auto"/>
                      </w:divBdr>
                    </w:div>
                  </w:divsChild>
                </w:div>
                <w:div w:id="1778065619">
                  <w:marLeft w:val="0"/>
                  <w:marRight w:val="0"/>
                  <w:marTop w:val="0"/>
                  <w:marBottom w:val="0"/>
                  <w:divBdr>
                    <w:top w:val="none" w:sz="0" w:space="0" w:color="auto"/>
                    <w:left w:val="none" w:sz="0" w:space="0" w:color="auto"/>
                    <w:bottom w:val="none" w:sz="0" w:space="0" w:color="auto"/>
                    <w:right w:val="none" w:sz="0" w:space="0" w:color="auto"/>
                  </w:divBdr>
                </w:div>
                <w:div w:id="266501247">
                  <w:marLeft w:val="-225"/>
                  <w:marRight w:val="-225"/>
                  <w:marTop w:val="0"/>
                  <w:marBottom w:val="0"/>
                  <w:divBdr>
                    <w:top w:val="none" w:sz="0" w:space="0" w:color="auto"/>
                    <w:left w:val="none" w:sz="0" w:space="0" w:color="auto"/>
                    <w:bottom w:val="none" w:sz="0" w:space="0" w:color="auto"/>
                    <w:right w:val="none" w:sz="0" w:space="0" w:color="auto"/>
                  </w:divBdr>
                  <w:divsChild>
                    <w:div w:id="1648240913">
                      <w:marLeft w:val="0"/>
                      <w:marRight w:val="0"/>
                      <w:marTop w:val="0"/>
                      <w:marBottom w:val="0"/>
                      <w:divBdr>
                        <w:top w:val="none" w:sz="0" w:space="0" w:color="auto"/>
                        <w:left w:val="none" w:sz="0" w:space="0" w:color="auto"/>
                        <w:bottom w:val="none" w:sz="0" w:space="0" w:color="auto"/>
                        <w:right w:val="none" w:sz="0" w:space="0" w:color="auto"/>
                      </w:divBdr>
                    </w:div>
                  </w:divsChild>
                </w:div>
                <w:div w:id="1102192178">
                  <w:marLeft w:val="-225"/>
                  <w:marRight w:val="-225"/>
                  <w:marTop w:val="0"/>
                  <w:marBottom w:val="0"/>
                  <w:divBdr>
                    <w:top w:val="none" w:sz="0" w:space="0" w:color="auto"/>
                    <w:left w:val="none" w:sz="0" w:space="0" w:color="auto"/>
                    <w:bottom w:val="none" w:sz="0" w:space="0" w:color="auto"/>
                    <w:right w:val="none" w:sz="0" w:space="0" w:color="auto"/>
                  </w:divBdr>
                  <w:divsChild>
                    <w:div w:id="1094672879">
                      <w:marLeft w:val="0"/>
                      <w:marRight w:val="0"/>
                      <w:marTop w:val="0"/>
                      <w:marBottom w:val="0"/>
                      <w:divBdr>
                        <w:top w:val="none" w:sz="0" w:space="0" w:color="auto"/>
                        <w:left w:val="none" w:sz="0" w:space="0" w:color="auto"/>
                        <w:bottom w:val="none" w:sz="0" w:space="0" w:color="auto"/>
                        <w:right w:val="none" w:sz="0" w:space="0" w:color="auto"/>
                      </w:divBdr>
                    </w:div>
                  </w:divsChild>
                </w:div>
                <w:div w:id="1926759931">
                  <w:marLeft w:val="0"/>
                  <w:marRight w:val="0"/>
                  <w:marTop w:val="0"/>
                  <w:marBottom w:val="0"/>
                  <w:divBdr>
                    <w:top w:val="none" w:sz="0" w:space="0" w:color="auto"/>
                    <w:left w:val="none" w:sz="0" w:space="0" w:color="auto"/>
                    <w:bottom w:val="none" w:sz="0" w:space="0" w:color="auto"/>
                    <w:right w:val="none" w:sz="0" w:space="0" w:color="auto"/>
                  </w:divBdr>
                </w:div>
                <w:div w:id="480125395">
                  <w:marLeft w:val="-225"/>
                  <w:marRight w:val="-225"/>
                  <w:marTop w:val="0"/>
                  <w:marBottom w:val="0"/>
                  <w:divBdr>
                    <w:top w:val="none" w:sz="0" w:space="0" w:color="auto"/>
                    <w:left w:val="none" w:sz="0" w:space="0" w:color="auto"/>
                    <w:bottom w:val="none" w:sz="0" w:space="0" w:color="auto"/>
                    <w:right w:val="none" w:sz="0" w:space="0" w:color="auto"/>
                  </w:divBdr>
                  <w:divsChild>
                    <w:div w:id="2086494739">
                      <w:marLeft w:val="0"/>
                      <w:marRight w:val="0"/>
                      <w:marTop w:val="0"/>
                      <w:marBottom w:val="0"/>
                      <w:divBdr>
                        <w:top w:val="none" w:sz="0" w:space="0" w:color="auto"/>
                        <w:left w:val="none" w:sz="0" w:space="0" w:color="auto"/>
                        <w:bottom w:val="none" w:sz="0" w:space="0" w:color="auto"/>
                        <w:right w:val="none" w:sz="0" w:space="0" w:color="auto"/>
                      </w:divBdr>
                    </w:div>
                  </w:divsChild>
                </w:div>
                <w:div w:id="715011433">
                  <w:marLeft w:val="0"/>
                  <w:marRight w:val="0"/>
                  <w:marTop w:val="0"/>
                  <w:marBottom w:val="0"/>
                  <w:divBdr>
                    <w:top w:val="none" w:sz="0" w:space="0" w:color="auto"/>
                    <w:left w:val="none" w:sz="0" w:space="0" w:color="auto"/>
                    <w:bottom w:val="none" w:sz="0" w:space="0" w:color="auto"/>
                    <w:right w:val="none" w:sz="0" w:space="0" w:color="auto"/>
                  </w:divBdr>
                </w:div>
              </w:divsChild>
            </w:div>
            <w:div w:id="5705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5664">
      <w:bodyDiv w:val="1"/>
      <w:marLeft w:val="0"/>
      <w:marRight w:val="0"/>
      <w:marTop w:val="0"/>
      <w:marBottom w:val="0"/>
      <w:divBdr>
        <w:top w:val="none" w:sz="0" w:space="0" w:color="auto"/>
        <w:left w:val="none" w:sz="0" w:space="0" w:color="auto"/>
        <w:bottom w:val="none" w:sz="0" w:space="0" w:color="auto"/>
        <w:right w:val="none" w:sz="0" w:space="0" w:color="auto"/>
      </w:divBdr>
    </w:div>
    <w:div w:id="1690835828">
      <w:bodyDiv w:val="1"/>
      <w:marLeft w:val="0"/>
      <w:marRight w:val="0"/>
      <w:marTop w:val="0"/>
      <w:marBottom w:val="0"/>
      <w:divBdr>
        <w:top w:val="none" w:sz="0" w:space="0" w:color="auto"/>
        <w:left w:val="none" w:sz="0" w:space="0" w:color="auto"/>
        <w:bottom w:val="none" w:sz="0" w:space="0" w:color="auto"/>
        <w:right w:val="none" w:sz="0" w:space="0" w:color="auto"/>
      </w:divBdr>
      <w:divsChild>
        <w:div w:id="429160160">
          <w:marLeft w:val="0"/>
          <w:marRight w:val="0"/>
          <w:marTop w:val="0"/>
          <w:marBottom w:val="0"/>
          <w:divBdr>
            <w:top w:val="none" w:sz="0" w:space="0" w:color="auto"/>
            <w:left w:val="none" w:sz="0" w:space="0" w:color="auto"/>
            <w:bottom w:val="none" w:sz="0" w:space="0" w:color="auto"/>
            <w:right w:val="none" w:sz="0" w:space="0" w:color="auto"/>
          </w:divBdr>
        </w:div>
        <w:div w:id="2087603111">
          <w:marLeft w:val="-225"/>
          <w:marRight w:val="-225"/>
          <w:marTop w:val="0"/>
          <w:marBottom w:val="0"/>
          <w:divBdr>
            <w:top w:val="none" w:sz="0" w:space="0" w:color="auto"/>
            <w:left w:val="none" w:sz="0" w:space="0" w:color="auto"/>
            <w:bottom w:val="none" w:sz="0" w:space="0" w:color="auto"/>
            <w:right w:val="none" w:sz="0" w:space="0" w:color="auto"/>
          </w:divBdr>
          <w:divsChild>
            <w:div w:id="695080748">
              <w:marLeft w:val="0"/>
              <w:marRight w:val="0"/>
              <w:marTop w:val="0"/>
              <w:marBottom w:val="0"/>
              <w:divBdr>
                <w:top w:val="none" w:sz="0" w:space="0" w:color="auto"/>
                <w:left w:val="none" w:sz="0" w:space="0" w:color="auto"/>
                <w:bottom w:val="none" w:sz="0" w:space="0" w:color="auto"/>
                <w:right w:val="none" w:sz="0" w:space="0" w:color="auto"/>
              </w:divBdr>
            </w:div>
          </w:divsChild>
        </w:div>
        <w:div w:id="1603495194">
          <w:marLeft w:val="0"/>
          <w:marRight w:val="0"/>
          <w:marTop w:val="0"/>
          <w:marBottom w:val="0"/>
          <w:divBdr>
            <w:top w:val="none" w:sz="0" w:space="0" w:color="auto"/>
            <w:left w:val="none" w:sz="0" w:space="0" w:color="auto"/>
            <w:bottom w:val="none" w:sz="0" w:space="0" w:color="auto"/>
            <w:right w:val="none" w:sz="0" w:space="0" w:color="auto"/>
          </w:divBdr>
        </w:div>
        <w:div w:id="1418744837">
          <w:marLeft w:val="0"/>
          <w:marRight w:val="0"/>
          <w:marTop w:val="0"/>
          <w:marBottom w:val="0"/>
          <w:divBdr>
            <w:top w:val="none" w:sz="0" w:space="0" w:color="auto"/>
            <w:left w:val="none" w:sz="0" w:space="0" w:color="auto"/>
            <w:bottom w:val="none" w:sz="0" w:space="0" w:color="auto"/>
            <w:right w:val="none" w:sz="0" w:space="0" w:color="auto"/>
          </w:divBdr>
        </w:div>
        <w:div w:id="1423456025">
          <w:marLeft w:val="0"/>
          <w:marRight w:val="0"/>
          <w:marTop w:val="0"/>
          <w:marBottom w:val="0"/>
          <w:divBdr>
            <w:top w:val="none" w:sz="0" w:space="0" w:color="auto"/>
            <w:left w:val="none" w:sz="0" w:space="0" w:color="auto"/>
            <w:bottom w:val="none" w:sz="0" w:space="0" w:color="auto"/>
            <w:right w:val="none" w:sz="0" w:space="0" w:color="auto"/>
          </w:divBdr>
          <w:divsChild>
            <w:div w:id="911695924">
              <w:marLeft w:val="0"/>
              <w:marRight w:val="0"/>
              <w:marTop w:val="0"/>
              <w:marBottom w:val="0"/>
              <w:divBdr>
                <w:top w:val="none" w:sz="0" w:space="0" w:color="auto"/>
                <w:left w:val="none" w:sz="0" w:space="0" w:color="auto"/>
                <w:bottom w:val="none" w:sz="0" w:space="0" w:color="auto"/>
                <w:right w:val="none" w:sz="0" w:space="0" w:color="auto"/>
              </w:divBdr>
              <w:divsChild>
                <w:div w:id="541946423">
                  <w:marLeft w:val="-225"/>
                  <w:marRight w:val="-225"/>
                  <w:marTop w:val="0"/>
                  <w:marBottom w:val="0"/>
                  <w:divBdr>
                    <w:top w:val="none" w:sz="0" w:space="0" w:color="auto"/>
                    <w:left w:val="none" w:sz="0" w:space="0" w:color="auto"/>
                    <w:bottom w:val="none" w:sz="0" w:space="0" w:color="auto"/>
                    <w:right w:val="none" w:sz="0" w:space="0" w:color="auto"/>
                  </w:divBdr>
                  <w:divsChild>
                    <w:div w:id="1856311621">
                      <w:marLeft w:val="0"/>
                      <w:marRight w:val="0"/>
                      <w:marTop w:val="0"/>
                      <w:marBottom w:val="0"/>
                      <w:divBdr>
                        <w:top w:val="none" w:sz="0" w:space="0" w:color="auto"/>
                        <w:left w:val="none" w:sz="0" w:space="0" w:color="auto"/>
                        <w:bottom w:val="none" w:sz="0" w:space="0" w:color="auto"/>
                        <w:right w:val="none" w:sz="0" w:space="0" w:color="auto"/>
                      </w:divBdr>
                    </w:div>
                  </w:divsChild>
                </w:div>
                <w:div w:id="1190879373">
                  <w:marLeft w:val="0"/>
                  <w:marRight w:val="0"/>
                  <w:marTop w:val="0"/>
                  <w:marBottom w:val="0"/>
                  <w:divBdr>
                    <w:top w:val="none" w:sz="0" w:space="0" w:color="auto"/>
                    <w:left w:val="none" w:sz="0" w:space="0" w:color="auto"/>
                    <w:bottom w:val="none" w:sz="0" w:space="0" w:color="auto"/>
                    <w:right w:val="none" w:sz="0" w:space="0" w:color="auto"/>
                  </w:divBdr>
                </w:div>
                <w:div w:id="1324158446">
                  <w:marLeft w:val="-225"/>
                  <w:marRight w:val="-225"/>
                  <w:marTop w:val="0"/>
                  <w:marBottom w:val="0"/>
                  <w:divBdr>
                    <w:top w:val="none" w:sz="0" w:space="0" w:color="auto"/>
                    <w:left w:val="none" w:sz="0" w:space="0" w:color="auto"/>
                    <w:bottom w:val="none" w:sz="0" w:space="0" w:color="auto"/>
                    <w:right w:val="none" w:sz="0" w:space="0" w:color="auto"/>
                  </w:divBdr>
                  <w:divsChild>
                    <w:div w:id="640498651">
                      <w:marLeft w:val="0"/>
                      <w:marRight w:val="0"/>
                      <w:marTop w:val="0"/>
                      <w:marBottom w:val="0"/>
                      <w:divBdr>
                        <w:top w:val="none" w:sz="0" w:space="0" w:color="auto"/>
                        <w:left w:val="none" w:sz="0" w:space="0" w:color="auto"/>
                        <w:bottom w:val="none" w:sz="0" w:space="0" w:color="auto"/>
                        <w:right w:val="none" w:sz="0" w:space="0" w:color="auto"/>
                      </w:divBdr>
                    </w:div>
                  </w:divsChild>
                </w:div>
                <w:div w:id="2077238868">
                  <w:marLeft w:val="0"/>
                  <w:marRight w:val="0"/>
                  <w:marTop w:val="0"/>
                  <w:marBottom w:val="0"/>
                  <w:divBdr>
                    <w:top w:val="none" w:sz="0" w:space="0" w:color="auto"/>
                    <w:left w:val="none" w:sz="0" w:space="0" w:color="auto"/>
                    <w:bottom w:val="none" w:sz="0" w:space="0" w:color="auto"/>
                    <w:right w:val="none" w:sz="0" w:space="0" w:color="auto"/>
                  </w:divBdr>
                </w:div>
                <w:div w:id="1082948025">
                  <w:marLeft w:val="-225"/>
                  <w:marRight w:val="-225"/>
                  <w:marTop w:val="0"/>
                  <w:marBottom w:val="0"/>
                  <w:divBdr>
                    <w:top w:val="none" w:sz="0" w:space="0" w:color="auto"/>
                    <w:left w:val="none" w:sz="0" w:space="0" w:color="auto"/>
                    <w:bottom w:val="none" w:sz="0" w:space="0" w:color="auto"/>
                    <w:right w:val="none" w:sz="0" w:space="0" w:color="auto"/>
                  </w:divBdr>
                  <w:divsChild>
                    <w:div w:id="2113670276">
                      <w:marLeft w:val="0"/>
                      <w:marRight w:val="0"/>
                      <w:marTop w:val="0"/>
                      <w:marBottom w:val="0"/>
                      <w:divBdr>
                        <w:top w:val="none" w:sz="0" w:space="0" w:color="auto"/>
                        <w:left w:val="none" w:sz="0" w:space="0" w:color="auto"/>
                        <w:bottom w:val="none" w:sz="0" w:space="0" w:color="auto"/>
                        <w:right w:val="none" w:sz="0" w:space="0" w:color="auto"/>
                      </w:divBdr>
                    </w:div>
                  </w:divsChild>
                </w:div>
                <w:div w:id="1379278739">
                  <w:marLeft w:val="0"/>
                  <w:marRight w:val="0"/>
                  <w:marTop w:val="0"/>
                  <w:marBottom w:val="0"/>
                  <w:divBdr>
                    <w:top w:val="none" w:sz="0" w:space="0" w:color="auto"/>
                    <w:left w:val="none" w:sz="0" w:space="0" w:color="auto"/>
                    <w:bottom w:val="none" w:sz="0" w:space="0" w:color="auto"/>
                    <w:right w:val="none" w:sz="0" w:space="0" w:color="auto"/>
                  </w:divBdr>
                </w:div>
                <w:div w:id="986976359">
                  <w:marLeft w:val="-225"/>
                  <w:marRight w:val="-225"/>
                  <w:marTop w:val="0"/>
                  <w:marBottom w:val="0"/>
                  <w:divBdr>
                    <w:top w:val="none" w:sz="0" w:space="0" w:color="auto"/>
                    <w:left w:val="none" w:sz="0" w:space="0" w:color="auto"/>
                    <w:bottom w:val="none" w:sz="0" w:space="0" w:color="auto"/>
                    <w:right w:val="none" w:sz="0" w:space="0" w:color="auto"/>
                  </w:divBdr>
                  <w:divsChild>
                    <w:div w:id="1580679174">
                      <w:marLeft w:val="0"/>
                      <w:marRight w:val="0"/>
                      <w:marTop w:val="0"/>
                      <w:marBottom w:val="0"/>
                      <w:divBdr>
                        <w:top w:val="none" w:sz="0" w:space="0" w:color="auto"/>
                        <w:left w:val="none" w:sz="0" w:space="0" w:color="auto"/>
                        <w:bottom w:val="none" w:sz="0" w:space="0" w:color="auto"/>
                        <w:right w:val="none" w:sz="0" w:space="0" w:color="auto"/>
                      </w:divBdr>
                    </w:div>
                  </w:divsChild>
                </w:div>
                <w:div w:id="1375806691">
                  <w:marLeft w:val="0"/>
                  <w:marRight w:val="0"/>
                  <w:marTop w:val="0"/>
                  <w:marBottom w:val="0"/>
                  <w:divBdr>
                    <w:top w:val="none" w:sz="0" w:space="0" w:color="auto"/>
                    <w:left w:val="none" w:sz="0" w:space="0" w:color="auto"/>
                    <w:bottom w:val="none" w:sz="0" w:space="0" w:color="auto"/>
                    <w:right w:val="none" w:sz="0" w:space="0" w:color="auto"/>
                  </w:divBdr>
                </w:div>
              </w:divsChild>
            </w:div>
            <w:div w:id="986011886">
              <w:marLeft w:val="0"/>
              <w:marRight w:val="0"/>
              <w:marTop w:val="0"/>
              <w:marBottom w:val="0"/>
              <w:divBdr>
                <w:top w:val="none" w:sz="0" w:space="0" w:color="auto"/>
                <w:left w:val="none" w:sz="0" w:space="0" w:color="auto"/>
                <w:bottom w:val="none" w:sz="0" w:space="0" w:color="auto"/>
                <w:right w:val="none" w:sz="0" w:space="0" w:color="auto"/>
              </w:divBdr>
              <w:divsChild>
                <w:div w:id="862986035">
                  <w:marLeft w:val="-225"/>
                  <w:marRight w:val="-225"/>
                  <w:marTop w:val="0"/>
                  <w:marBottom w:val="0"/>
                  <w:divBdr>
                    <w:top w:val="none" w:sz="0" w:space="0" w:color="auto"/>
                    <w:left w:val="none" w:sz="0" w:space="0" w:color="auto"/>
                    <w:bottom w:val="none" w:sz="0" w:space="0" w:color="auto"/>
                    <w:right w:val="none" w:sz="0" w:space="0" w:color="auto"/>
                  </w:divBdr>
                  <w:divsChild>
                    <w:div w:id="1504054201">
                      <w:marLeft w:val="0"/>
                      <w:marRight w:val="0"/>
                      <w:marTop w:val="0"/>
                      <w:marBottom w:val="0"/>
                      <w:divBdr>
                        <w:top w:val="none" w:sz="0" w:space="0" w:color="auto"/>
                        <w:left w:val="none" w:sz="0" w:space="0" w:color="auto"/>
                        <w:bottom w:val="none" w:sz="0" w:space="0" w:color="auto"/>
                        <w:right w:val="none" w:sz="0" w:space="0" w:color="auto"/>
                      </w:divBdr>
                    </w:div>
                  </w:divsChild>
                </w:div>
                <w:div w:id="20847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1324">
          <w:marLeft w:val="0"/>
          <w:marRight w:val="0"/>
          <w:marTop w:val="0"/>
          <w:marBottom w:val="0"/>
          <w:divBdr>
            <w:top w:val="none" w:sz="0" w:space="0" w:color="auto"/>
            <w:left w:val="none" w:sz="0" w:space="0" w:color="auto"/>
            <w:bottom w:val="none" w:sz="0" w:space="0" w:color="auto"/>
            <w:right w:val="none" w:sz="0" w:space="0" w:color="auto"/>
          </w:divBdr>
          <w:divsChild>
            <w:div w:id="1185367846">
              <w:marLeft w:val="0"/>
              <w:marRight w:val="0"/>
              <w:marTop w:val="0"/>
              <w:marBottom w:val="0"/>
              <w:divBdr>
                <w:top w:val="none" w:sz="0" w:space="0" w:color="auto"/>
                <w:left w:val="none" w:sz="0" w:space="0" w:color="auto"/>
                <w:bottom w:val="none" w:sz="0" w:space="0" w:color="auto"/>
                <w:right w:val="none" w:sz="0" w:space="0" w:color="auto"/>
              </w:divBdr>
            </w:div>
            <w:div w:id="1599168812">
              <w:marLeft w:val="0"/>
              <w:marRight w:val="0"/>
              <w:marTop w:val="0"/>
              <w:marBottom w:val="0"/>
              <w:divBdr>
                <w:top w:val="none" w:sz="0" w:space="0" w:color="auto"/>
                <w:left w:val="none" w:sz="0" w:space="0" w:color="auto"/>
                <w:bottom w:val="none" w:sz="0" w:space="0" w:color="auto"/>
                <w:right w:val="none" w:sz="0" w:space="0" w:color="auto"/>
              </w:divBdr>
              <w:divsChild>
                <w:div w:id="477186512">
                  <w:marLeft w:val="-225"/>
                  <w:marRight w:val="-225"/>
                  <w:marTop w:val="0"/>
                  <w:marBottom w:val="0"/>
                  <w:divBdr>
                    <w:top w:val="none" w:sz="0" w:space="0" w:color="auto"/>
                    <w:left w:val="none" w:sz="0" w:space="0" w:color="auto"/>
                    <w:bottom w:val="none" w:sz="0" w:space="0" w:color="auto"/>
                    <w:right w:val="none" w:sz="0" w:space="0" w:color="auto"/>
                  </w:divBdr>
                  <w:divsChild>
                    <w:div w:id="526019115">
                      <w:marLeft w:val="0"/>
                      <w:marRight w:val="0"/>
                      <w:marTop w:val="0"/>
                      <w:marBottom w:val="0"/>
                      <w:divBdr>
                        <w:top w:val="none" w:sz="0" w:space="0" w:color="auto"/>
                        <w:left w:val="none" w:sz="0" w:space="0" w:color="auto"/>
                        <w:bottom w:val="none" w:sz="0" w:space="0" w:color="auto"/>
                        <w:right w:val="none" w:sz="0" w:space="0" w:color="auto"/>
                      </w:divBdr>
                    </w:div>
                  </w:divsChild>
                </w:div>
                <w:div w:id="1247687105">
                  <w:marLeft w:val="0"/>
                  <w:marRight w:val="0"/>
                  <w:marTop w:val="0"/>
                  <w:marBottom w:val="0"/>
                  <w:divBdr>
                    <w:top w:val="none" w:sz="0" w:space="0" w:color="auto"/>
                    <w:left w:val="none" w:sz="0" w:space="0" w:color="auto"/>
                    <w:bottom w:val="none" w:sz="0" w:space="0" w:color="auto"/>
                    <w:right w:val="none" w:sz="0" w:space="0" w:color="auto"/>
                  </w:divBdr>
                </w:div>
                <w:div w:id="515116852">
                  <w:marLeft w:val="-225"/>
                  <w:marRight w:val="-225"/>
                  <w:marTop w:val="0"/>
                  <w:marBottom w:val="0"/>
                  <w:divBdr>
                    <w:top w:val="none" w:sz="0" w:space="0" w:color="auto"/>
                    <w:left w:val="none" w:sz="0" w:space="0" w:color="auto"/>
                    <w:bottom w:val="none" w:sz="0" w:space="0" w:color="auto"/>
                    <w:right w:val="none" w:sz="0" w:space="0" w:color="auto"/>
                  </w:divBdr>
                  <w:divsChild>
                    <w:div w:id="1383481883">
                      <w:marLeft w:val="0"/>
                      <w:marRight w:val="0"/>
                      <w:marTop w:val="0"/>
                      <w:marBottom w:val="0"/>
                      <w:divBdr>
                        <w:top w:val="none" w:sz="0" w:space="0" w:color="auto"/>
                        <w:left w:val="none" w:sz="0" w:space="0" w:color="auto"/>
                        <w:bottom w:val="none" w:sz="0" w:space="0" w:color="auto"/>
                        <w:right w:val="none" w:sz="0" w:space="0" w:color="auto"/>
                      </w:divBdr>
                    </w:div>
                  </w:divsChild>
                </w:div>
                <w:div w:id="1705793060">
                  <w:marLeft w:val="-225"/>
                  <w:marRight w:val="-225"/>
                  <w:marTop w:val="0"/>
                  <w:marBottom w:val="0"/>
                  <w:divBdr>
                    <w:top w:val="none" w:sz="0" w:space="0" w:color="auto"/>
                    <w:left w:val="none" w:sz="0" w:space="0" w:color="auto"/>
                    <w:bottom w:val="none" w:sz="0" w:space="0" w:color="auto"/>
                    <w:right w:val="none" w:sz="0" w:space="0" w:color="auto"/>
                  </w:divBdr>
                  <w:divsChild>
                    <w:div w:id="1526333819">
                      <w:marLeft w:val="0"/>
                      <w:marRight w:val="0"/>
                      <w:marTop w:val="0"/>
                      <w:marBottom w:val="0"/>
                      <w:divBdr>
                        <w:top w:val="none" w:sz="0" w:space="0" w:color="auto"/>
                        <w:left w:val="none" w:sz="0" w:space="0" w:color="auto"/>
                        <w:bottom w:val="none" w:sz="0" w:space="0" w:color="auto"/>
                        <w:right w:val="none" w:sz="0" w:space="0" w:color="auto"/>
                      </w:divBdr>
                    </w:div>
                  </w:divsChild>
                </w:div>
                <w:div w:id="1149784028">
                  <w:marLeft w:val="0"/>
                  <w:marRight w:val="0"/>
                  <w:marTop w:val="0"/>
                  <w:marBottom w:val="0"/>
                  <w:divBdr>
                    <w:top w:val="none" w:sz="0" w:space="0" w:color="auto"/>
                    <w:left w:val="none" w:sz="0" w:space="0" w:color="auto"/>
                    <w:bottom w:val="none" w:sz="0" w:space="0" w:color="auto"/>
                    <w:right w:val="none" w:sz="0" w:space="0" w:color="auto"/>
                  </w:divBdr>
                </w:div>
                <w:div w:id="1120107493">
                  <w:marLeft w:val="-225"/>
                  <w:marRight w:val="-225"/>
                  <w:marTop w:val="0"/>
                  <w:marBottom w:val="0"/>
                  <w:divBdr>
                    <w:top w:val="none" w:sz="0" w:space="0" w:color="auto"/>
                    <w:left w:val="none" w:sz="0" w:space="0" w:color="auto"/>
                    <w:bottom w:val="none" w:sz="0" w:space="0" w:color="auto"/>
                    <w:right w:val="none" w:sz="0" w:space="0" w:color="auto"/>
                  </w:divBdr>
                  <w:divsChild>
                    <w:div w:id="1202085569">
                      <w:marLeft w:val="0"/>
                      <w:marRight w:val="0"/>
                      <w:marTop w:val="0"/>
                      <w:marBottom w:val="0"/>
                      <w:divBdr>
                        <w:top w:val="none" w:sz="0" w:space="0" w:color="auto"/>
                        <w:left w:val="none" w:sz="0" w:space="0" w:color="auto"/>
                        <w:bottom w:val="none" w:sz="0" w:space="0" w:color="auto"/>
                        <w:right w:val="none" w:sz="0" w:space="0" w:color="auto"/>
                      </w:divBdr>
                    </w:div>
                  </w:divsChild>
                </w:div>
                <w:div w:id="949318189">
                  <w:marLeft w:val="0"/>
                  <w:marRight w:val="0"/>
                  <w:marTop w:val="0"/>
                  <w:marBottom w:val="0"/>
                  <w:divBdr>
                    <w:top w:val="none" w:sz="0" w:space="0" w:color="auto"/>
                    <w:left w:val="none" w:sz="0" w:space="0" w:color="auto"/>
                    <w:bottom w:val="none" w:sz="0" w:space="0" w:color="auto"/>
                    <w:right w:val="none" w:sz="0" w:space="0" w:color="auto"/>
                  </w:divBdr>
                </w:div>
              </w:divsChild>
            </w:div>
            <w:div w:id="765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50101">
      <w:bodyDiv w:val="1"/>
      <w:marLeft w:val="0"/>
      <w:marRight w:val="0"/>
      <w:marTop w:val="0"/>
      <w:marBottom w:val="0"/>
      <w:divBdr>
        <w:top w:val="none" w:sz="0" w:space="0" w:color="auto"/>
        <w:left w:val="none" w:sz="0" w:space="0" w:color="auto"/>
        <w:bottom w:val="none" w:sz="0" w:space="0" w:color="auto"/>
        <w:right w:val="none" w:sz="0" w:space="0" w:color="auto"/>
      </w:divBdr>
      <w:divsChild>
        <w:div w:id="1137378676">
          <w:marLeft w:val="0"/>
          <w:marRight w:val="0"/>
          <w:marTop w:val="0"/>
          <w:marBottom w:val="0"/>
          <w:divBdr>
            <w:top w:val="none" w:sz="0" w:space="0" w:color="auto"/>
            <w:left w:val="none" w:sz="0" w:space="0" w:color="auto"/>
            <w:bottom w:val="none" w:sz="0" w:space="0" w:color="auto"/>
            <w:right w:val="none" w:sz="0" w:space="0" w:color="auto"/>
          </w:divBdr>
        </w:div>
        <w:div w:id="1128937116">
          <w:marLeft w:val="0"/>
          <w:marRight w:val="0"/>
          <w:marTop w:val="0"/>
          <w:marBottom w:val="0"/>
          <w:divBdr>
            <w:top w:val="none" w:sz="0" w:space="0" w:color="auto"/>
            <w:left w:val="none" w:sz="0" w:space="0" w:color="auto"/>
            <w:bottom w:val="none" w:sz="0" w:space="0" w:color="auto"/>
            <w:right w:val="none" w:sz="0" w:space="0" w:color="auto"/>
          </w:divBdr>
        </w:div>
        <w:div w:id="348608017">
          <w:marLeft w:val="0"/>
          <w:marRight w:val="0"/>
          <w:marTop w:val="0"/>
          <w:marBottom w:val="0"/>
          <w:divBdr>
            <w:top w:val="none" w:sz="0" w:space="0" w:color="auto"/>
            <w:left w:val="none" w:sz="0" w:space="0" w:color="auto"/>
            <w:bottom w:val="none" w:sz="0" w:space="0" w:color="auto"/>
            <w:right w:val="none" w:sz="0" w:space="0" w:color="auto"/>
          </w:divBdr>
          <w:divsChild>
            <w:div w:id="533618921">
              <w:marLeft w:val="0"/>
              <w:marRight w:val="0"/>
              <w:marTop w:val="240"/>
              <w:marBottom w:val="240"/>
              <w:divBdr>
                <w:top w:val="none" w:sz="0" w:space="0" w:color="auto"/>
                <w:left w:val="none" w:sz="0" w:space="0" w:color="auto"/>
                <w:bottom w:val="none" w:sz="0" w:space="0" w:color="auto"/>
                <w:right w:val="none" w:sz="0" w:space="0" w:color="auto"/>
              </w:divBdr>
            </w:div>
            <w:div w:id="1991328077">
              <w:marLeft w:val="0"/>
              <w:marRight w:val="0"/>
              <w:marTop w:val="240"/>
              <w:marBottom w:val="240"/>
              <w:divBdr>
                <w:top w:val="none" w:sz="0" w:space="0" w:color="auto"/>
                <w:left w:val="none" w:sz="0" w:space="0" w:color="auto"/>
                <w:bottom w:val="none" w:sz="0" w:space="0" w:color="auto"/>
                <w:right w:val="none" w:sz="0" w:space="0" w:color="auto"/>
              </w:divBdr>
            </w:div>
            <w:div w:id="1406957221">
              <w:marLeft w:val="0"/>
              <w:marRight w:val="0"/>
              <w:marTop w:val="240"/>
              <w:marBottom w:val="240"/>
              <w:divBdr>
                <w:top w:val="none" w:sz="0" w:space="0" w:color="auto"/>
                <w:left w:val="none" w:sz="0" w:space="0" w:color="auto"/>
                <w:bottom w:val="none" w:sz="0" w:space="0" w:color="auto"/>
                <w:right w:val="none" w:sz="0" w:space="0" w:color="auto"/>
              </w:divBdr>
            </w:div>
            <w:div w:id="1009020749">
              <w:marLeft w:val="0"/>
              <w:marRight w:val="0"/>
              <w:marTop w:val="240"/>
              <w:marBottom w:val="240"/>
              <w:divBdr>
                <w:top w:val="none" w:sz="0" w:space="0" w:color="auto"/>
                <w:left w:val="none" w:sz="0" w:space="0" w:color="auto"/>
                <w:bottom w:val="none" w:sz="0" w:space="0" w:color="auto"/>
                <w:right w:val="none" w:sz="0" w:space="0" w:color="auto"/>
              </w:divBdr>
            </w:div>
          </w:divsChild>
        </w:div>
        <w:div w:id="1213034173">
          <w:marLeft w:val="0"/>
          <w:marRight w:val="0"/>
          <w:marTop w:val="0"/>
          <w:marBottom w:val="0"/>
          <w:divBdr>
            <w:top w:val="none" w:sz="0" w:space="0" w:color="auto"/>
            <w:left w:val="none" w:sz="0" w:space="0" w:color="auto"/>
            <w:bottom w:val="none" w:sz="0" w:space="0" w:color="auto"/>
            <w:right w:val="none" w:sz="0" w:space="0" w:color="auto"/>
          </w:divBdr>
          <w:divsChild>
            <w:div w:id="243149120">
              <w:marLeft w:val="0"/>
              <w:marRight w:val="0"/>
              <w:marTop w:val="0"/>
              <w:marBottom w:val="0"/>
              <w:divBdr>
                <w:top w:val="none" w:sz="0" w:space="0" w:color="auto"/>
                <w:left w:val="none" w:sz="0" w:space="0" w:color="auto"/>
                <w:bottom w:val="none" w:sz="0" w:space="0" w:color="auto"/>
                <w:right w:val="none" w:sz="0" w:space="0" w:color="auto"/>
              </w:divBdr>
            </w:div>
            <w:div w:id="727725572">
              <w:marLeft w:val="0"/>
              <w:marRight w:val="0"/>
              <w:marTop w:val="0"/>
              <w:marBottom w:val="0"/>
              <w:divBdr>
                <w:top w:val="none" w:sz="0" w:space="0" w:color="auto"/>
                <w:left w:val="none" w:sz="0" w:space="0" w:color="auto"/>
                <w:bottom w:val="none" w:sz="0" w:space="0" w:color="auto"/>
                <w:right w:val="none" w:sz="0" w:space="0" w:color="auto"/>
              </w:divBdr>
              <w:divsChild>
                <w:div w:id="146023640">
                  <w:marLeft w:val="-225"/>
                  <w:marRight w:val="-225"/>
                  <w:marTop w:val="0"/>
                  <w:marBottom w:val="0"/>
                  <w:divBdr>
                    <w:top w:val="none" w:sz="0" w:space="0" w:color="auto"/>
                    <w:left w:val="none" w:sz="0" w:space="0" w:color="auto"/>
                    <w:bottom w:val="none" w:sz="0" w:space="0" w:color="auto"/>
                    <w:right w:val="none" w:sz="0" w:space="0" w:color="auto"/>
                  </w:divBdr>
                  <w:divsChild>
                    <w:div w:id="1184787610">
                      <w:marLeft w:val="0"/>
                      <w:marRight w:val="0"/>
                      <w:marTop w:val="0"/>
                      <w:marBottom w:val="0"/>
                      <w:divBdr>
                        <w:top w:val="none" w:sz="0" w:space="0" w:color="auto"/>
                        <w:left w:val="none" w:sz="0" w:space="0" w:color="auto"/>
                        <w:bottom w:val="none" w:sz="0" w:space="0" w:color="auto"/>
                        <w:right w:val="none" w:sz="0" w:space="0" w:color="auto"/>
                      </w:divBdr>
                    </w:div>
                  </w:divsChild>
                </w:div>
                <w:div w:id="2036883767">
                  <w:marLeft w:val="0"/>
                  <w:marRight w:val="0"/>
                  <w:marTop w:val="0"/>
                  <w:marBottom w:val="0"/>
                  <w:divBdr>
                    <w:top w:val="none" w:sz="0" w:space="0" w:color="auto"/>
                    <w:left w:val="none" w:sz="0" w:space="0" w:color="auto"/>
                    <w:bottom w:val="none" w:sz="0" w:space="0" w:color="auto"/>
                    <w:right w:val="none" w:sz="0" w:space="0" w:color="auto"/>
                  </w:divBdr>
                </w:div>
                <w:div w:id="2075351420">
                  <w:marLeft w:val="-225"/>
                  <w:marRight w:val="-225"/>
                  <w:marTop w:val="0"/>
                  <w:marBottom w:val="0"/>
                  <w:divBdr>
                    <w:top w:val="none" w:sz="0" w:space="0" w:color="auto"/>
                    <w:left w:val="none" w:sz="0" w:space="0" w:color="auto"/>
                    <w:bottom w:val="none" w:sz="0" w:space="0" w:color="auto"/>
                    <w:right w:val="none" w:sz="0" w:space="0" w:color="auto"/>
                  </w:divBdr>
                  <w:divsChild>
                    <w:div w:id="830407977">
                      <w:marLeft w:val="0"/>
                      <w:marRight w:val="0"/>
                      <w:marTop w:val="0"/>
                      <w:marBottom w:val="0"/>
                      <w:divBdr>
                        <w:top w:val="none" w:sz="0" w:space="0" w:color="auto"/>
                        <w:left w:val="none" w:sz="0" w:space="0" w:color="auto"/>
                        <w:bottom w:val="none" w:sz="0" w:space="0" w:color="auto"/>
                        <w:right w:val="none" w:sz="0" w:space="0" w:color="auto"/>
                      </w:divBdr>
                    </w:div>
                  </w:divsChild>
                </w:div>
                <w:div w:id="420956820">
                  <w:marLeft w:val="-225"/>
                  <w:marRight w:val="-225"/>
                  <w:marTop w:val="0"/>
                  <w:marBottom w:val="0"/>
                  <w:divBdr>
                    <w:top w:val="none" w:sz="0" w:space="0" w:color="auto"/>
                    <w:left w:val="none" w:sz="0" w:space="0" w:color="auto"/>
                    <w:bottom w:val="none" w:sz="0" w:space="0" w:color="auto"/>
                    <w:right w:val="none" w:sz="0" w:space="0" w:color="auto"/>
                  </w:divBdr>
                  <w:divsChild>
                    <w:div w:id="979386256">
                      <w:marLeft w:val="0"/>
                      <w:marRight w:val="0"/>
                      <w:marTop w:val="0"/>
                      <w:marBottom w:val="0"/>
                      <w:divBdr>
                        <w:top w:val="none" w:sz="0" w:space="0" w:color="auto"/>
                        <w:left w:val="none" w:sz="0" w:space="0" w:color="auto"/>
                        <w:bottom w:val="none" w:sz="0" w:space="0" w:color="auto"/>
                        <w:right w:val="none" w:sz="0" w:space="0" w:color="auto"/>
                      </w:divBdr>
                    </w:div>
                  </w:divsChild>
                </w:div>
                <w:div w:id="1050761217">
                  <w:marLeft w:val="0"/>
                  <w:marRight w:val="0"/>
                  <w:marTop w:val="0"/>
                  <w:marBottom w:val="0"/>
                  <w:divBdr>
                    <w:top w:val="none" w:sz="0" w:space="0" w:color="auto"/>
                    <w:left w:val="none" w:sz="0" w:space="0" w:color="auto"/>
                    <w:bottom w:val="none" w:sz="0" w:space="0" w:color="auto"/>
                    <w:right w:val="none" w:sz="0" w:space="0" w:color="auto"/>
                  </w:divBdr>
                </w:div>
                <w:div w:id="1488859154">
                  <w:marLeft w:val="-225"/>
                  <w:marRight w:val="-225"/>
                  <w:marTop w:val="0"/>
                  <w:marBottom w:val="0"/>
                  <w:divBdr>
                    <w:top w:val="none" w:sz="0" w:space="0" w:color="auto"/>
                    <w:left w:val="none" w:sz="0" w:space="0" w:color="auto"/>
                    <w:bottom w:val="none" w:sz="0" w:space="0" w:color="auto"/>
                    <w:right w:val="none" w:sz="0" w:space="0" w:color="auto"/>
                  </w:divBdr>
                  <w:divsChild>
                    <w:div w:id="949630218">
                      <w:marLeft w:val="0"/>
                      <w:marRight w:val="0"/>
                      <w:marTop w:val="0"/>
                      <w:marBottom w:val="0"/>
                      <w:divBdr>
                        <w:top w:val="none" w:sz="0" w:space="0" w:color="auto"/>
                        <w:left w:val="none" w:sz="0" w:space="0" w:color="auto"/>
                        <w:bottom w:val="none" w:sz="0" w:space="0" w:color="auto"/>
                        <w:right w:val="none" w:sz="0" w:space="0" w:color="auto"/>
                      </w:divBdr>
                    </w:div>
                  </w:divsChild>
                </w:div>
                <w:div w:id="726878551">
                  <w:marLeft w:val="-225"/>
                  <w:marRight w:val="-225"/>
                  <w:marTop w:val="0"/>
                  <w:marBottom w:val="0"/>
                  <w:divBdr>
                    <w:top w:val="none" w:sz="0" w:space="0" w:color="auto"/>
                    <w:left w:val="none" w:sz="0" w:space="0" w:color="auto"/>
                    <w:bottom w:val="none" w:sz="0" w:space="0" w:color="auto"/>
                    <w:right w:val="none" w:sz="0" w:space="0" w:color="auto"/>
                  </w:divBdr>
                  <w:divsChild>
                    <w:div w:id="1202324928">
                      <w:marLeft w:val="0"/>
                      <w:marRight w:val="0"/>
                      <w:marTop w:val="0"/>
                      <w:marBottom w:val="0"/>
                      <w:divBdr>
                        <w:top w:val="none" w:sz="0" w:space="0" w:color="auto"/>
                        <w:left w:val="none" w:sz="0" w:space="0" w:color="auto"/>
                        <w:bottom w:val="none" w:sz="0" w:space="0" w:color="auto"/>
                        <w:right w:val="none" w:sz="0" w:space="0" w:color="auto"/>
                      </w:divBdr>
                    </w:div>
                  </w:divsChild>
                </w:div>
                <w:div w:id="722797010">
                  <w:marLeft w:val="0"/>
                  <w:marRight w:val="0"/>
                  <w:marTop w:val="0"/>
                  <w:marBottom w:val="0"/>
                  <w:divBdr>
                    <w:top w:val="none" w:sz="0" w:space="0" w:color="auto"/>
                    <w:left w:val="none" w:sz="0" w:space="0" w:color="auto"/>
                    <w:bottom w:val="none" w:sz="0" w:space="0" w:color="auto"/>
                    <w:right w:val="none" w:sz="0" w:space="0" w:color="auto"/>
                  </w:divBdr>
                </w:div>
                <w:div w:id="1809322648">
                  <w:marLeft w:val="-225"/>
                  <w:marRight w:val="-225"/>
                  <w:marTop w:val="0"/>
                  <w:marBottom w:val="0"/>
                  <w:divBdr>
                    <w:top w:val="none" w:sz="0" w:space="0" w:color="auto"/>
                    <w:left w:val="none" w:sz="0" w:space="0" w:color="auto"/>
                    <w:bottom w:val="none" w:sz="0" w:space="0" w:color="auto"/>
                    <w:right w:val="none" w:sz="0" w:space="0" w:color="auto"/>
                  </w:divBdr>
                  <w:divsChild>
                    <w:div w:id="1861239011">
                      <w:marLeft w:val="0"/>
                      <w:marRight w:val="0"/>
                      <w:marTop w:val="0"/>
                      <w:marBottom w:val="0"/>
                      <w:divBdr>
                        <w:top w:val="none" w:sz="0" w:space="0" w:color="auto"/>
                        <w:left w:val="none" w:sz="0" w:space="0" w:color="auto"/>
                        <w:bottom w:val="none" w:sz="0" w:space="0" w:color="auto"/>
                        <w:right w:val="none" w:sz="0" w:space="0" w:color="auto"/>
                      </w:divBdr>
                    </w:div>
                  </w:divsChild>
                </w:div>
                <w:div w:id="16612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1502">
          <w:marLeft w:val="0"/>
          <w:marRight w:val="0"/>
          <w:marTop w:val="0"/>
          <w:marBottom w:val="0"/>
          <w:divBdr>
            <w:top w:val="none" w:sz="0" w:space="0" w:color="auto"/>
            <w:left w:val="none" w:sz="0" w:space="0" w:color="auto"/>
            <w:bottom w:val="none" w:sz="0" w:space="0" w:color="auto"/>
            <w:right w:val="none" w:sz="0" w:space="0" w:color="auto"/>
          </w:divBdr>
          <w:divsChild>
            <w:div w:id="1833838620">
              <w:marLeft w:val="0"/>
              <w:marRight w:val="0"/>
              <w:marTop w:val="0"/>
              <w:marBottom w:val="0"/>
              <w:divBdr>
                <w:top w:val="none" w:sz="0" w:space="0" w:color="auto"/>
                <w:left w:val="none" w:sz="0" w:space="0" w:color="auto"/>
                <w:bottom w:val="none" w:sz="0" w:space="0" w:color="auto"/>
                <w:right w:val="none" w:sz="0" w:space="0" w:color="auto"/>
              </w:divBdr>
              <w:divsChild>
                <w:div w:id="12147013">
                  <w:marLeft w:val="0"/>
                  <w:marRight w:val="0"/>
                  <w:marTop w:val="0"/>
                  <w:marBottom w:val="0"/>
                  <w:divBdr>
                    <w:top w:val="single" w:sz="6" w:space="0" w:color="DDDDDD"/>
                    <w:left w:val="single" w:sz="6" w:space="0" w:color="DDDDDD"/>
                    <w:bottom w:val="single" w:sz="6" w:space="0" w:color="DDDDDD"/>
                    <w:right w:val="single" w:sz="6" w:space="0" w:color="DDDDDD"/>
                  </w:divBdr>
                </w:div>
                <w:div w:id="202535234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03276963">
              <w:marLeft w:val="0"/>
              <w:marRight w:val="0"/>
              <w:marTop w:val="0"/>
              <w:marBottom w:val="0"/>
              <w:divBdr>
                <w:top w:val="none" w:sz="0" w:space="0" w:color="auto"/>
                <w:left w:val="none" w:sz="0" w:space="0" w:color="auto"/>
                <w:bottom w:val="none" w:sz="0" w:space="0" w:color="auto"/>
                <w:right w:val="none" w:sz="0" w:space="0" w:color="auto"/>
              </w:divBdr>
              <w:divsChild>
                <w:div w:id="114103561">
                  <w:marLeft w:val="-225"/>
                  <w:marRight w:val="-225"/>
                  <w:marTop w:val="0"/>
                  <w:marBottom w:val="0"/>
                  <w:divBdr>
                    <w:top w:val="none" w:sz="0" w:space="0" w:color="auto"/>
                    <w:left w:val="none" w:sz="0" w:space="0" w:color="auto"/>
                    <w:bottom w:val="none" w:sz="0" w:space="0" w:color="auto"/>
                    <w:right w:val="none" w:sz="0" w:space="0" w:color="auto"/>
                  </w:divBdr>
                  <w:divsChild>
                    <w:div w:id="1557354539">
                      <w:marLeft w:val="0"/>
                      <w:marRight w:val="0"/>
                      <w:marTop w:val="0"/>
                      <w:marBottom w:val="0"/>
                      <w:divBdr>
                        <w:top w:val="none" w:sz="0" w:space="0" w:color="auto"/>
                        <w:left w:val="none" w:sz="0" w:space="0" w:color="auto"/>
                        <w:bottom w:val="none" w:sz="0" w:space="0" w:color="auto"/>
                        <w:right w:val="none" w:sz="0" w:space="0" w:color="auto"/>
                      </w:divBdr>
                    </w:div>
                  </w:divsChild>
                </w:div>
                <w:div w:id="2065981882">
                  <w:marLeft w:val="0"/>
                  <w:marRight w:val="0"/>
                  <w:marTop w:val="0"/>
                  <w:marBottom w:val="0"/>
                  <w:divBdr>
                    <w:top w:val="none" w:sz="0" w:space="0" w:color="auto"/>
                    <w:left w:val="none" w:sz="0" w:space="0" w:color="auto"/>
                    <w:bottom w:val="none" w:sz="0" w:space="0" w:color="auto"/>
                    <w:right w:val="none" w:sz="0" w:space="0" w:color="auto"/>
                  </w:divBdr>
                </w:div>
                <w:div w:id="1795322484">
                  <w:marLeft w:val="-225"/>
                  <w:marRight w:val="-225"/>
                  <w:marTop w:val="0"/>
                  <w:marBottom w:val="0"/>
                  <w:divBdr>
                    <w:top w:val="none" w:sz="0" w:space="0" w:color="auto"/>
                    <w:left w:val="none" w:sz="0" w:space="0" w:color="auto"/>
                    <w:bottom w:val="none" w:sz="0" w:space="0" w:color="auto"/>
                    <w:right w:val="none" w:sz="0" w:space="0" w:color="auto"/>
                  </w:divBdr>
                  <w:divsChild>
                    <w:div w:id="905527170">
                      <w:marLeft w:val="0"/>
                      <w:marRight w:val="0"/>
                      <w:marTop w:val="0"/>
                      <w:marBottom w:val="0"/>
                      <w:divBdr>
                        <w:top w:val="none" w:sz="0" w:space="0" w:color="auto"/>
                        <w:left w:val="none" w:sz="0" w:space="0" w:color="auto"/>
                        <w:bottom w:val="none" w:sz="0" w:space="0" w:color="auto"/>
                        <w:right w:val="none" w:sz="0" w:space="0" w:color="auto"/>
                      </w:divBdr>
                    </w:div>
                  </w:divsChild>
                </w:div>
                <w:div w:id="1704670362">
                  <w:marLeft w:val="0"/>
                  <w:marRight w:val="0"/>
                  <w:marTop w:val="0"/>
                  <w:marBottom w:val="0"/>
                  <w:divBdr>
                    <w:top w:val="none" w:sz="0" w:space="0" w:color="auto"/>
                    <w:left w:val="none" w:sz="0" w:space="0" w:color="auto"/>
                    <w:bottom w:val="none" w:sz="0" w:space="0" w:color="auto"/>
                    <w:right w:val="none" w:sz="0" w:space="0" w:color="auto"/>
                  </w:divBdr>
                </w:div>
              </w:divsChild>
            </w:div>
            <w:div w:id="1802843397">
              <w:marLeft w:val="0"/>
              <w:marRight w:val="0"/>
              <w:marTop w:val="0"/>
              <w:marBottom w:val="0"/>
              <w:divBdr>
                <w:top w:val="none" w:sz="0" w:space="0" w:color="auto"/>
                <w:left w:val="none" w:sz="0" w:space="0" w:color="auto"/>
                <w:bottom w:val="none" w:sz="0" w:space="0" w:color="auto"/>
                <w:right w:val="none" w:sz="0" w:space="0" w:color="auto"/>
              </w:divBdr>
            </w:div>
          </w:divsChild>
        </w:div>
        <w:div w:id="923760755">
          <w:marLeft w:val="0"/>
          <w:marRight w:val="0"/>
          <w:marTop w:val="0"/>
          <w:marBottom w:val="0"/>
          <w:divBdr>
            <w:top w:val="none" w:sz="0" w:space="0" w:color="auto"/>
            <w:left w:val="none" w:sz="0" w:space="0" w:color="auto"/>
            <w:bottom w:val="none" w:sz="0" w:space="0" w:color="auto"/>
            <w:right w:val="none" w:sz="0" w:space="0" w:color="auto"/>
          </w:divBdr>
          <w:divsChild>
            <w:div w:id="2108841183">
              <w:marLeft w:val="0"/>
              <w:marRight w:val="0"/>
              <w:marTop w:val="0"/>
              <w:marBottom w:val="0"/>
              <w:divBdr>
                <w:top w:val="none" w:sz="0" w:space="0" w:color="auto"/>
                <w:left w:val="none" w:sz="0" w:space="0" w:color="auto"/>
                <w:bottom w:val="none" w:sz="0" w:space="0" w:color="auto"/>
                <w:right w:val="none" w:sz="0" w:space="0" w:color="auto"/>
              </w:divBdr>
              <w:divsChild>
                <w:div w:id="2000496107">
                  <w:marLeft w:val="-225"/>
                  <w:marRight w:val="-225"/>
                  <w:marTop w:val="0"/>
                  <w:marBottom w:val="0"/>
                  <w:divBdr>
                    <w:top w:val="none" w:sz="0" w:space="0" w:color="auto"/>
                    <w:left w:val="none" w:sz="0" w:space="0" w:color="auto"/>
                    <w:bottom w:val="none" w:sz="0" w:space="0" w:color="auto"/>
                    <w:right w:val="none" w:sz="0" w:space="0" w:color="auto"/>
                  </w:divBdr>
                  <w:divsChild>
                    <w:div w:id="1926649642">
                      <w:marLeft w:val="0"/>
                      <w:marRight w:val="0"/>
                      <w:marTop w:val="0"/>
                      <w:marBottom w:val="0"/>
                      <w:divBdr>
                        <w:top w:val="none" w:sz="0" w:space="0" w:color="auto"/>
                        <w:left w:val="none" w:sz="0" w:space="0" w:color="auto"/>
                        <w:bottom w:val="none" w:sz="0" w:space="0" w:color="auto"/>
                        <w:right w:val="none" w:sz="0" w:space="0" w:color="auto"/>
                      </w:divBdr>
                    </w:div>
                  </w:divsChild>
                </w:div>
                <w:div w:id="817308757">
                  <w:marLeft w:val="0"/>
                  <w:marRight w:val="0"/>
                  <w:marTop w:val="0"/>
                  <w:marBottom w:val="0"/>
                  <w:divBdr>
                    <w:top w:val="none" w:sz="0" w:space="0" w:color="auto"/>
                    <w:left w:val="none" w:sz="0" w:space="0" w:color="auto"/>
                    <w:bottom w:val="none" w:sz="0" w:space="0" w:color="auto"/>
                    <w:right w:val="none" w:sz="0" w:space="0" w:color="auto"/>
                  </w:divBdr>
                </w:div>
                <w:div w:id="384335464">
                  <w:marLeft w:val="-225"/>
                  <w:marRight w:val="-225"/>
                  <w:marTop w:val="0"/>
                  <w:marBottom w:val="0"/>
                  <w:divBdr>
                    <w:top w:val="none" w:sz="0" w:space="0" w:color="auto"/>
                    <w:left w:val="none" w:sz="0" w:space="0" w:color="auto"/>
                    <w:bottom w:val="none" w:sz="0" w:space="0" w:color="auto"/>
                    <w:right w:val="none" w:sz="0" w:space="0" w:color="auto"/>
                  </w:divBdr>
                  <w:divsChild>
                    <w:div w:id="1417434315">
                      <w:marLeft w:val="0"/>
                      <w:marRight w:val="0"/>
                      <w:marTop w:val="0"/>
                      <w:marBottom w:val="0"/>
                      <w:divBdr>
                        <w:top w:val="none" w:sz="0" w:space="0" w:color="auto"/>
                        <w:left w:val="none" w:sz="0" w:space="0" w:color="auto"/>
                        <w:bottom w:val="none" w:sz="0" w:space="0" w:color="auto"/>
                        <w:right w:val="none" w:sz="0" w:space="0" w:color="auto"/>
                      </w:divBdr>
                    </w:div>
                  </w:divsChild>
                </w:div>
                <w:div w:id="2018924100">
                  <w:marLeft w:val="0"/>
                  <w:marRight w:val="0"/>
                  <w:marTop w:val="0"/>
                  <w:marBottom w:val="0"/>
                  <w:divBdr>
                    <w:top w:val="none" w:sz="0" w:space="0" w:color="auto"/>
                    <w:left w:val="none" w:sz="0" w:space="0" w:color="auto"/>
                    <w:bottom w:val="none" w:sz="0" w:space="0" w:color="auto"/>
                    <w:right w:val="none" w:sz="0" w:space="0" w:color="auto"/>
                  </w:divBdr>
                </w:div>
                <w:div w:id="26412259">
                  <w:marLeft w:val="-225"/>
                  <w:marRight w:val="-225"/>
                  <w:marTop w:val="0"/>
                  <w:marBottom w:val="0"/>
                  <w:divBdr>
                    <w:top w:val="none" w:sz="0" w:space="0" w:color="auto"/>
                    <w:left w:val="none" w:sz="0" w:space="0" w:color="auto"/>
                    <w:bottom w:val="none" w:sz="0" w:space="0" w:color="auto"/>
                    <w:right w:val="none" w:sz="0" w:space="0" w:color="auto"/>
                  </w:divBdr>
                  <w:divsChild>
                    <w:div w:id="470444490">
                      <w:marLeft w:val="0"/>
                      <w:marRight w:val="0"/>
                      <w:marTop w:val="0"/>
                      <w:marBottom w:val="0"/>
                      <w:divBdr>
                        <w:top w:val="none" w:sz="0" w:space="0" w:color="auto"/>
                        <w:left w:val="none" w:sz="0" w:space="0" w:color="auto"/>
                        <w:bottom w:val="none" w:sz="0" w:space="0" w:color="auto"/>
                        <w:right w:val="none" w:sz="0" w:space="0" w:color="auto"/>
                      </w:divBdr>
                    </w:div>
                  </w:divsChild>
                </w:div>
                <w:div w:id="103312678">
                  <w:marLeft w:val="0"/>
                  <w:marRight w:val="0"/>
                  <w:marTop w:val="0"/>
                  <w:marBottom w:val="0"/>
                  <w:divBdr>
                    <w:top w:val="none" w:sz="0" w:space="0" w:color="auto"/>
                    <w:left w:val="none" w:sz="0" w:space="0" w:color="auto"/>
                    <w:bottom w:val="none" w:sz="0" w:space="0" w:color="auto"/>
                    <w:right w:val="none" w:sz="0" w:space="0" w:color="auto"/>
                  </w:divBdr>
                </w:div>
              </w:divsChild>
            </w:div>
            <w:div w:id="652216852">
              <w:marLeft w:val="0"/>
              <w:marRight w:val="0"/>
              <w:marTop w:val="0"/>
              <w:marBottom w:val="0"/>
              <w:divBdr>
                <w:top w:val="none" w:sz="0" w:space="0" w:color="auto"/>
                <w:left w:val="none" w:sz="0" w:space="0" w:color="auto"/>
                <w:bottom w:val="none" w:sz="0" w:space="0" w:color="auto"/>
                <w:right w:val="none" w:sz="0" w:space="0" w:color="auto"/>
              </w:divBdr>
              <w:divsChild>
                <w:div w:id="1979651736">
                  <w:marLeft w:val="0"/>
                  <w:marRight w:val="0"/>
                  <w:marTop w:val="0"/>
                  <w:marBottom w:val="0"/>
                  <w:divBdr>
                    <w:top w:val="none" w:sz="0" w:space="0" w:color="auto"/>
                    <w:left w:val="none" w:sz="0" w:space="0" w:color="auto"/>
                    <w:bottom w:val="none" w:sz="0" w:space="0" w:color="auto"/>
                    <w:right w:val="none" w:sz="0" w:space="0" w:color="auto"/>
                  </w:divBdr>
                  <w:divsChild>
                    <w:div w:id="167408490">
                      <w:marLeft w:val="-225"/>
                      <w:marRight w:val="-225"/>
                      <w:marTop w:val="0"/>
                      <w:marBottom w:val="0"/>
                      <w:divBdr>
                        <w:top w:val="none" w:sz="0" w:space="0" w:color="auto"/>
                        <w:left w:val="none" w:sz="0" w:space="0" w:color="auto"/>
                        <w:bottom w:val="none" w:sz="0" w:space="0" w:color="auto"/>
                        <w:right w:val="none" w:sz="0" w:space="0" w:color="auto"/>
                      </w:divBdr>
                      <w:divsChild>
                        <w:div w:id="1738821764">
                          <w:marLeft w:val="0"/>
                          <w:marRight w:val="0"/>
                          <w:marTop w:val="0"/>
                          <w:marBottom w:val="0"/>
                          <w:divBdr>
                            <w:top w:val="none" w:sz="0" w:space="0" w:color="auto"/>
                            <w:left w:val="none" w:sz="0" w:space="0" w:color="auto"/>
                            <w:bottom w:val="none" w:sz="0" w:space="0" w:color="auto"/>
                            <w:right w:val="none" w:sz="0" w:space="0" w:color="auto"/>
                          </w:divBdr>
                        </w:div>
                      </w:divsChild>
                    </w:div>
                    <w:div w:id="1150362180">
                      <w:marLeft w:val="0"/>
                      <w:marRight w:val="0"/>
                      <w:marTop w:val="0"/>
                      <w:marBottom w:val="0"/>
                      <w:divBdr>
                        <w:top w:val="none" w:sz="0" w:space="0" w:color="auto"/>
                        <w:left w:val="none" w:sz="0" w:space="0" w:color="auto"/>
                        <w:bottom w:val="none" w:sz="0" w:space="0" w:color="auto"/>
                        <w:right w:val="none" w:sz="0" w:space="0" w:color="auto"/>
                      </w:divBdr>
                    </w:div>
                    <w:div w:id="1894609266">
                      <w:marLeft w:val="-225"/>
                      <w:marRight w:val="-225"/>
                      <w:marTop w:val="0"/>
                      <w:marBottom w:val="0"/>
                      <w:divBdr>
                        <w:top w:val="none" w:sz="0" w:space="0" w:color="auto"/>
                        <w:left w:val="none" w:sz="0" w:space="0" w:color="auto"/>
                        <w:bottom w:val="none" w:sz="0" w:space="0" w:color="auto"/>
                        <w:right w:val="none" w:sz="0" w:space="0" w:color="auto"/>
                      </w:divBdr>
                      <w:divsChild>
                        <w:div w:id="790827472">
                          <w:marLeft w:val="0"/>
                          <w:marRight w:val="0"/>
                          <w:marTop w:val="0"/>
                          <w:marBottom w:val="0"/>
                          <w:divBdr>
                            <w:top w:val="none" w:sz="0" w:space="0" w:color="auto"/>
                            <w:left w:val="none" w:sz="0" w:space="0" w:color="auto"/>
                            <w:bottom w:val="none" w:sz="0" w:space="0" w:color="auto"/>
                            <w:right w:val="none" w:sz="0" w:space="0" w:color="auto"/>
                          </w:divBdr>
                        </w:div>
                      </w:divsChild>
                    </w:div>
                    <w:div w:id="1468475591">
                      <w:marLeft w:val="0"/>
                      <w:marRight w:val="0"/>
                      <w:marTop w:val="0"/>
                      <w:marBottom w:val="0"/>
                      <w:divBdr>
                        <w:top w:val="none" w:sz="0" w:space="0" w:color="auto"/>
                        <w:left w:val="none" w:sz="0" w:space="0" w:color="auto"/>
                        <w:bottom w:val="none" w:sz="0" w:space="0" w:color="auto"/>
                        <w:right w:val="none" w:sz="0" w:space="0" w:color="auto"/>
                      </w:divBdr>
                    </w:div>
                  </w:divsChild>
                </w:div>
                <w:div w:id="741610543">
                  <w:marLeft w:val="0"/>
                  <w:marRight w:val="0"/>
                  <w:marTop w:val="0"/>
                  <w:marBottom w:val="0"/>
                  <w:divBdr>
                    <w:top w:val="none" w:sz="0" w:space="0" w:color="auto"/>
                    <w:left w:val="none" w:sz="0" w:space="0" w:color="auto"/>
                    <w:bottom w:val="none" w:sz="0" w:space="0" w:color="auto"/>
                    <w:right w:val="none" w:sz="0" w:space="0" w:color="auto"/>
                  </w:divBdr>
                  <w:divsChild>
                    <w:div w:id="1653752097">
                      <w:marLeft w:val="-225"/>
                      <w:marRight w:val="-225"/>
                      <w:marTop w:val="0"/>
                      <w:marBottom w:val="0"/>
                      <w:divBdr>
                        <w:top w:val="none" w:sz="0" w:space="0" w:color="auto"/>
                        <w:left w:val="none" w:sz="0" w:space="0" w:color="auto"/>
                        <w:bottom w:val="none" w:sz="0" w:space="0" w:color="auto"/>
                        <w:right w:val="none" w:sz="0" w:space="0" w:color="auto"/>
                      </w:divBdr>
                      <w:divsChild>
                        <w:div w:id="1094789058">
                          <w:marLeft w:val="0"/>
                          <w:marRight w:val="0"/>
                          <w:marTop w:val="0"/>
                          <w:marBottom w:val="0"/>
                          <w:divBdr>
                            <w:top w:val="none" w:sz="0" w:space="0" w:color="auto"/>
                            <w:left w:val="none" w:sz="0" w:space="0" w:color="auto"/>
                            <w:bottom w:val="none" w:sz="0" w:space="0" w:color="auto"/>
                            <w:right w:val="none" w:sz="0" w:space="0" w:color="auto"/>
                          </w:divBdr>
                        </w:div>
                      </w:divsChild>
                    </w:div>
                    <w:div w:id="957876028">
                      <w:marLeft w:val="0"/>
                      <w:marRight w:val="0"/>
                      <w:marTop w:val="0"/>
                      <w:marBottom w:val="0"/>
                      <w:divBdr>
                        <w:top w:val="none" w:sz="0" w:space="0" w:color="auto"/>
                        <w:left w:val="none" w:sz="0" w:space="0" w:color="auto"/>
                        <w:bottom w:val="none" w:sz="0" w:space="0" w:color="auto"/>
                        <w:right w:val="none" w:sz="0" w:space="0" w:color="auto"/>
                      </w:divBdr>
                    </w:div>
                    <w:div w:id="1575580095">
                      <w:marLeft w:val="-225"/>
                      <w:marRight w:val="-225"/>
                      <w:marTop w:val="0"/>
                      <w:marBottom w:val="0"/>
                      <w:divBdr>
                        <w:top w:val="none" w:sz="0" w:space="0" w:color="auto"/>
                        <w:left w:val="none" w:sz="0" w:space="0" w:color="auto"/>
                        <w:bottom w:val="none" w:sz="0" w:space="0" w:color="auto"/>
                        <w:right w:val="none" w:sz="0" w:space="0" w:color="auto"/>
                      </w:divBdr>
                      <w:divsChild>
                        <w:div w:id="1611431066">
                          <w:marLeft w:val="0"/>
                          <w:marRight w:val="0"/>
                          <w:marTop w:val="0"/>
                          <w:marBottom w:val="0"/>
                          <w:divBdr>
                            <w:top w:val="none" w:sz="0" w:space="0" w:color="auto"/>
                            <w:left w:val="none" w:sz="0" w:space="0" w:color="auto"/>
                            <w:bottom w:val="none" w:sz="0" w:space="0" w:color="auto"/>
                            <w:right w:val="none" w:sz="0" w:space="0" w:color="auto"/>
                          </w:divBdr>
                        </w:div>
                      </w:divsChild>
                    </w:div>
                    <w:div w:id="1497571078">
                      <w:marLeft w:val="0"/>
                      <w:marRight w:val="0"/>
                      <w:marTop w:val="0"/>
                      <w:marBottom w:val="0"/>
                      <w:divBdr>
                        <w:top w:val="none" w:sz="0" w:space="0" w:color="auto"/>
                        <w:left w:val="none" w:sz="0" w:space="0" w:color="auto"/>
                        <w:bottom w:val="none" w:sz="0" w:space="0" w:color="auto"/>
                        <w:right w:val="none" w:sz="0" w:space="0" w:color="auto"/>
                      </w:divBdr>
                    </w:div>
                  </w:divsChild>
                </w:div>
                <w:div w:id="1902517011">
                  <w:marLeft w:val="0"/>
                  <w:marRight w:val="0"/>
                  <w:marTop w:val="0"/>
                  <w:marBottom w:val="0"/>
                  <w:divBdr>
                    <w:top w:val="none" w:sz="0" w:space="0" w:color="auto"/>
                    <w:left w:val="none" w:sz="0" w:space="0" w:color="auto"/>
                    <w:bottom w:val="none" w:sz="0" w:space="0" w:color="auto"/>
                    <w:right w:val="none" w:sz="0" w:space="0" w:color="auto"/>
                  </w:divBdr>
                  <w:divsChild>
                    <w:div w:id="288167670">
                      <w:marLeft w:val="-225"/>
                      <w:marRight w:val="-225"/>
                      <w:marTop w:val="0"/>
                      <w:marBottom w:val="0"/>
                      <w:divBdr>
                        <w:top w:val="none" w:sz="0" w:space="0" w:color="auto"/>
                        <w:left w:val="none" w:sz="0" w:space="0" w:color="auto"/>
                        <w:bottom w:val="none" w:sz="0" w:space="0" w:color="auto"/>
                        <w:right w:val="none" w:sz="0" w:space="0" w:color="auto"/>
                      </w:divBdr>
                      <w:divsChild>
                        <w:div w:id="1082876118">
                          <w:marLeft w:val="0"/>
                          <w:marRight w:val="0"/>
                          <w:marTop w:val="0"/>
                          <w:marBottom w:val="0"/>
                          <w:divBdr>
                            <w:top w:val="none" w:sz="0" w:space="0" w:color="auto"/>
                            <w:left w:val="none" w:sz="0" w:space="0" w:color="auto"/>
                            <w:bottom w:val="none" w:sz="0" w:space="0" w:color="auto"/>
                            <w:right w:val="none" w:sz="0" w:space="0" w:color="auto"/>
                          </w:divBdr>
                        </w:div>
                      </w:divsChild>
                    </w:div>
                    <w:div w:id="20194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607">
          <w:marLeft w:val="0"/>
          <w:marRight w:val="0"/>
          <w:marTop w:val="0"/>
          <w:marBottom w:val="0"/>
          <w:divBdr>
            <w:top w:val="none" w:sz="0" w:space="0" w:color="auto"/>
            <w:left w:val="none" w:sz="0" w:space="0" w:color="auto"/>
            <w:bottom w:val="none" w:sz="0" w:space="0" w:color="auto"/>
            <w:right w:val="none" w:sz="0" w:space="0" w:color="auto"/>
          </w:divBdr>
        </w:div>
      </w:divsChild>
    </w:div>
    <w:div w:id="21395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A341-6E45-4421-8E44-F8F935B1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10356</Words>
  <Characters>60065</Characters>
  <Application>Microsoft Office Word</Application>
  <DocSecurity>4</DocSecurity>
  <Lines>500</Lines>
  <Paragraphs>140</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70281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 Seletuskirja lisa 1. Korduskasutusnõude rakendamise mõjuanalüüs suletud süsteemides.</dc:title>
  <dc:subject/>
  <dc:creator>Mati Mõtte</dc:creator>
  <dc:description/>
  <cp:lastModifiedBy>Dagny Kungus</cp:lastModifiedBy>
  <cp:revision>2</cp:revision>
  <dcterms:created xsi:type="dcterms:W3CDTF">2026-05-20T13:52:00Z</dcterms:created>
  <dcterms:modified xsi:type="dcterms:W3CDTF">2026-05-20T13:52:00Z</dcterms:modified>
</cp:coreProperties>
</file>